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华文新魏" w:eastAsia="华文新魏"/>
          <w:b w:val="0"/>
          <w:color w:val="000000"/>
          <w:spacing w:val="42"/>
          <w:sz w:val="32"/>
          <w:szCs w:val="32"/>
          <w:lang w:eastAsia="zh-CN"/>
        </w:rPr>
      </w:pPr>
      <w:r>
        <w:rPr>
          <w:rFonts w:hint="eastAsia" w:ascii="华文新魏" w:eastAsia="华文新魏"/>
          <w:b w:val="0"/>
          <w:color w:val="000000"/>
          <w:spacing w:val="42"/>
          <w:sz w:val="32"/>
          <w:szCs w:val="32"/>
          <w:lang w:eastAsia="zh-CN"/>
        </w:rPr>
        <w:t>宁波莱堡制冷设备有限公司</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华文新魏" w:eastAsia="华文新魏"/>
          <w:b w:val="0"/>
          <w:color w:val="000000"/>
          <w:spacing w:val="42"/>
          <w:sz w:val="32"/>
          <w:szCs w:val="32"/>
          <w:lang w:eastAsia="zh-CN"/>
        </w:rPr>
      </w:pPr>
      <w:r>
        <w:rPr>
          <w:rFonts w:hint="eastAsia" w:ascii="华文新魏" w:eastAsia="华文新魏"/>
          <w:b w:val="0"/>
          <w:color w:val="000000"/>
          <w:spacing w:val="42"/>
          <w:sz w:val="32"/>
          <w:szCs w:val="32"/>
          <w:lang w:eastAsia="zh-CN"/>
        </w:rPr>
        <w:t>年产10万台电机生产线技改项目</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华文新魏" w:eastAsia="华文新魏"/>
          <w:color w:val="000000"/>
        </w:rPr>
      </w:pPr>
      <w:r>
        <w:rPr>
          <w:rFonts w:hint="eastAsia" w:ascii="华文新魏" w:eastAsia="华文新魏"/>
          <w:b w:val="0"/>
          <w:color w:val="000000"/>
          <w:spacing w:val="42"/>
          <w:sz w:val="32"/>
          <w:szCs w:val="32"/>
          <w:lang w:eastAsia="zh-CN"/>
        </w:rPr>
        <w:t>竣工环境保护验收意见</w:t>
      </w:r>
    </w:p>
    <w:p>
      <w:pPr>
        <w:adjustRightInd w:val="0"/>
        <w:snapToGrid w:val="0"/>
        <w:spacing w:line="400" w:lineRule="exact"/>
        <w:ind w:firstLine="480" w:firstLineChars="200"/>
        <w:rPr>
          <w:rFonts w:hint="eastAsia" w:ascii="华文新魏" w:eastAsia="华文新魏"/>
          <w:color w:val="000000"/>
        </w:rPr>
      </w:pPr>
      <w:r>
        <w:rPr>
          <w:rFonts w:hint="eastAsia" w:ascii="华文新魏" w:eastAsia="华文新魏"/>
          <w:color w:val="000000"/>
        </w:rPr>
        <w:t>根据</w:t>
      </w:r>
      <w:r>
        <w:rPr>
          <w:rFonts w:ascii="华文新魏" w:eastAsia="华文新魏"/>
          <w:color w:val="000000"/>
        </w:rPr>
        <w:t>环境保护部文件国环规环评[2017]4号《建设项目竣工环境保护验收暂行办法》</w:t>
      </w:r>
      <w:r>
        <w:rPr>
          <w:rFonts w:hint="eastAsia" w:ascii="华文新魏" w:eastAsia="华文新魏"/>
          <w:color w:val="000000"/>
        </w:rPr>
        <w:t>等相关文件要求，为</w:t>
      </w:r>
      <w:r>
        <w:rPr>
          <w:rFonts w:ascii="华文新魏" w:eastAsia="华文新魏"/>
          <w:color w:val="000000"/>
        </w:rPr>
        <w:t>规范建设项目环境保护设施竣工验收的程序和标准，强化建设单位环境保护主体责任</w:t>
      </w:r>
      <w:r>
        <w:rPr>
          <w:rFonts w:hint="eastAsia" w:ascii="华文新魏" w:eastAsia="华文新魏"/>
          <w:color w:val="000000"/>
        </w:rPr>
        <w:t>，现启动本项目</w:t>
      </w:r>
      <w:r>
        <w:rPr>
          <w:rFonts w:ascii="华文新魏" w:eastAsia="华文新魏"/>
          <w:color w:val="000000"/>
        </w:rPr>
        <w:t>配套建设的环境保护设施验收</w:t>
      </w:r>
      <w:r>
        <w:rPr>
          <w:rFonts w:hint="eastAsia" w:ascii="华文新魏" w:eastAsia="华文新魏"/>
          <w:color w:val="000000"/>
        </w:rPr>
        <w:t>程序</w:t>
      </w:r>
      <w:r>
        <w:rPr>
          <w:rFonts w:ascii="华文新魏" w:eastAsia="华文新魏"/>
          <w:color w:val="000000"/>
        </w:rPr>
        <w:t>，</w:t>
      </w:r>
      <w:r>
        <w:rPr>
          <w:rFonts w:hint="eastAsia" w:ascii="华文新魏" w:eastAsia="华文新魏"/>
          <w:color w:val="000000"/>
        </w:rPr>
        <w:t>并</w:t>
      </w:r>
      <w:r>
        <w:rPr>
          <w:rFonts w:ascii="华文新魏" w:eastAsia="华文新魏"/>
          <w:color w:val="000000"/>
        </w:rPr>
        <w:t>编制验收报告，公开相关信息，接受社会监督</w:t>
      </w:r>
      <w:r>
        <w:rPr>
          <w:rFonts w:hint="eastAsia" w:ascii="华文新魏" w:eastAsia="华文新魏"/>
          <w:color w:val="000000"/>
        </w:rPr>
        <w:t>。</w:t>
      </w:r>
    </w:p>
    <w:p>
      <w:pPr>
        <w:numPr>
          <w:ilvl w:val="0"/>
          <w:numId w:val="1"/>
        </w:numPr>
        <w:adjustRightInd w:val="0"/>
        <w:snapToGrid w:val="0"/>
        <w:spacing w:before="156" w:beforeLines="50" w:line="400" w:lineRule="exact"/>
        <w:ind w:left="0" w:firstLine="0"/>
        <w:rPr>
          <w:rFonts w:hint="eastAsia" w:ascii="华文新魏" w:eastAsia="华文新魏"/>
          <w:b/>
          <w:color w:val="000000"/>
          <w:sz w:val="28"/>
          <w:szCs w:val="28"/>
        </w:rPr>
      </w:pPr>
      <w:r>
        <w:rPr>
          <w:rFonts w:hint="eastAsia" w:ascii="华文新魏" w:eastAsia="华文新魏"/>
          <w:b/>
          <w:color w:val="000000"/>
          <w:sz w:val="28"/>
          <w:szCs w:val="28"/>
        </w:rPr>
        <w:t>项目概况</w:t>
      </w:r>
    </w:p>
    <w:p>
      <w:pPr>
        <w:adjustRightInd w:val="0"/>
        <w:snapToGrid w:val="0"/>
        <w:spacing w:line="400" w:lineRule="exact"/>
        <w:ind w:left="1920" w:leftChars="200" w:hanging="1440" w:hangingChars="600"/>
        <w:jc w:val="both"/>
        <w:rPr>
          <w:rFonts w:hint="default" w:ascii="华文新魏" w:hAnsi="Times New Roman" w:eastAsia="华文新魏"/>
          <w:color w:val="000000"/>
          <w:lang w:val="en-US" w:eastAsia="zh-CN"/>
        </w:rPr>
      </w:pPr>
      <w:r>
        <w:rPr>
          <w:rFonts w:hint="eastAsia" w:ascii="华文新魏" w:eastAsia="华文新魏"/>
          <w:color w:val="000000"/>
        </w:rPr>
        <w:t>项目名称：</w:t>
      </w:r>
      <w:r>
        <w:rPr>
          <w:rFonts w:hint="eastAsia" w:ascii="华文新魏" w:eastAsia="华文新魏"/>
          <w:color w:val="000000"/>
          <w:lang w:val="en-US" w:eastAsia="zh-CN"/>
        </w:rPr>
        <w:t>宁波莱堡制冷设备有限公司年产10万台电机生产线技改项目</w:t>
      </w:r>
    </w:p>
    <w:p>
      <w:pPr>
        <w:adjustRightInd w:val="0"/>
        <w:snapToGrid w:val="0"/>
        <w:spacing w:line="400" w:lineRule="exact"/>
        <w:ind w:firstLine="480" w:firstLineChars="200"/>
        <w:rPr>
          <w:rFonts w:hint="eastAsia" w:ascii="华文新魏" w:eastAsia="华文新魏"/>
          <w:color w:val="000000"/>
        </w:rPr>
      </w:pPr>
      <w:r>
        <w:rPr>
          <w:rFonts w:hint="eastAsia" w:ascii="华文新魏" w:eastAsia="华文新魏"/>
          <w:color w:val="000000"/>
        </w:rPr>
        <w:t>项目所在地：</w:t>
      </w:r>
      <w:r>
        <w:rPr>
          <w:rFonts w:hint="eastAsia"/>
        </w:rPr>
        <w:t>宁波市海曙区洞桥镇工业园区洞北路22号</w:t>
      </w:r>
    </w:p>
    <w:p>
      <w:pPr>
        <w:adjustRightInd w:val="0"/>
        <w:snapToGrid w:val="0"/>
        <w:spacing w:line="400" w:lineRule="exact"/>
        <w:ind w:firstLine="480" w:firstLineChars="200"/>
        <w:rPr>
          <w:rFonts w:hint="eastAsia" w:ascii="华文新魏" w:hAnsi="Times New Roman" w:eastAsia="华文新魏"/>
          <w:color w:val="000000"/>
        </w:rPr>
      </w:pPr>
      <w:r>
        <w:rPr>
          <w:rFonts w:hint="eastAsia" w:ascii="华文新魏" w:eastAsia="华文新魏"/>
          <w:color w:val="000000"/>
        </w:rPr>
        <w:t>建设单位：</w:t>
      </w:r>
      <w:r>
        <w:rPr>
          <w:rFonts w:hint="eastAsia" w:ascii="华文新魏" w:eastAsia="华文新魏"/>
          <w:color w:val="000000"/>
          <w:lang w:val="en-US" w:eastAsia="zh-CN"/>
        </w:rPr>
        <w:t>宁波莱堡制冷设备有限公司</w:t>
      </w:r>
    </w:p>
    <w:p>
      <w:pPr>
        <w:adjustRightInd w:val="0"/>
        <w:snapToGrid w:val="0"/>
        <w:spacing w:line="400" w:lineRule="exact"/>
        <w:ind w:firstLine="480" w:firstLineChars="200"/>
        <w:rPr>
          <w:rFonts w:hint="default" w:ascii="Times New Roman" w:hAnsi="Times New Roman" w:eastAsia="宋体" w:cs="Times New Roman"/>
          <w:color w:val="000000"/>
        </w:rPr>
      </w:pPr>
      <w:r>
        <w:rPr>
          <w:rFonts w:ascii="华文新魏" w:eastAsia="华文新魏"/>
          <w:color w:val="000000"/>
        </w:rPr>
        <w:t>项目总投资：总投</w:t>
      </w:r>
      <w:r>
        <w:rPr>
          <w:rFonts w:hint="default" w:ascii="Times New Roman" w:hAnsi="Times New Roman" w:eastAsia="宋体" w:cs="Times New Roman"/>
          <w:color w:val="000000"/>
          <w:lang w:eastAsia="zh-CN"/>
        </w:rPr>
        <w:t>资</w:t>
      </w:r>
      <w:r>
        <w:rPr>
          <w:rFonts w:hint="eastAsia" w:cs="Times New Roman"/>
          <w:kern w:val="0"/>
          <w:sz w:val="24"/>
          <w:szCs w:val="24"/>
          <w:lang w:val="en-US" w:eastAsia="zh-CN"/>
        </w:rPr>
        <w:t>200</w:t>
      </w:r>
      <w:r>
        <w:rPr>
          <w:rFonts w:hint="default" w:ascii="Times New Roman" w:hAnsi="Times New Roman" w:eastAsia="宋体" w:cs="Times New Roman"/>
          <w:color w:val="000000"/>
          <w:lang w:eastAsia="zh-CN"/>
        </w:rPr>
        <w:t>万元</w:t>
      </w:r>
    </w:p>
    <w:p>
      <w:pPr>
        <w:adjustRightInd w:val="0"/>
        <w:snapToGrid w:val="0"/>
        <w:spacing w:line="400" w:lineRule="exact"/>
        <w:ind w:firstLine="480" w:firstLineChars="200"/>
        <w:rPr>
          <w:rFonts w:hint="eastAsia" w:ascii="Times New Roman" w:hAnsi="Times New Roman" w:eastAsia="宋体" w:cs="Times New Roman"/>
          <w:color w:val="000000"/>
          <w:lang w:val="en-US" w:eastAsia="zh-CN"/>
        </w:rPr>
      </w:pPr>
      <w:r>
        <w:rPr>
          <w:rFonts w:hint="default" w:ascii="Times New Roman" w:hAnsi="Times New Roman" w:eastAsia="宋体" w:cs="Times New Roman"/>
          <w:color w:val="000000"/>
        </w:rPr>
        <w:t>项目用地：</w:t>
      </w:r>
      <w:r>
        <w:rPr>
          <w:rFonts w:hint="eastAsia" w:ascii="Times New Roman" w:hAnsi="Times New Roman" w:cs="Times New Roman"/>
        </w:rPr>
        <w:t>本</w:t>
      </w:r>
      <w:r>
        <w:rPr>
          <w:rFonts w:hint="eastAsia" w:cs="Times New Roman"/>
          <w:lang w:val="en-US" w:eastAsia="zh-CN"/>
        </w:rPr>
        <w:t>项目</w:t>
      </w:r>
      <w:r>
        <w:rPr>
          <w:rFonts w:hint="eastAsia" w:ascii="Times New Roman" w:hAnsi="Times New Roman" w:eastAsia="宋体"/>
          <w:color w:val="auto"/>
          <w:sz w:val="24"/>
          <w:szCs w:val="24"/>
          <w:lang w:eastAsia="zh-CN"/>
        </w:rPr>
        <w:t>总占地面积</w:t>
      </w:r>
      <w:r>
        <w:rPr>
          <w:rFonts w:hint="default" w:ascii="Times New Roman" w:hAnsi="Times New Roman" w:eastAsia="宋体" w:cs="Times New Roman"/>
          <w:color w:val="auto"/>
          <w:sz w:val="24"/>
          <w:szCs w:val="24"/>
          <w:lang w:eastAsia="zh-CN"/>
        </w:rPr>
        <w:t>16656.6</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olor w:val="auto"/>
          <w:sz w:val="24"/>
          <w:szCs w:val="24"/>
          <w:lang w:eastAsia="zh-CN"/>
        </w:rPr>
        <w:t>，总建筑面积20126㎡</w:t>
      </w:r>
      <w:r>
        <w:rPr>
          <w:rFonts w:hint="eastAsia" w:ascii="Times New Roman" w:hAnsi="Times New Roman" w:cs="Times New Roman"/>
        </w:rPr>
        <w:t>。</w:t>
      </w:r>
    </w:p>
    <w:p>
      <w:pPr>
        <w:numPr>
          <w:ilvl w:val="0"/>
          <w:numId w:val="1"/>
        </w:numPr>
        <w:adjustRightInd w:val="0"/>
        <w:snapToGrid w:val="0"/>
        <w:spacing w:before="156" w:beforeLines="50" w:line="400" w:lineRule="exact"/>
        <w:ind w:left="0" w:firstLine="0"/>
        <w:rPr>
          <w:rFonts w:hint="eastAsia" w:ascii="华文新魏" w:eastAsia="华文新魏"/>
          <w:b/>
          <w:color w:val="000000"/>
          <w:sz w:val="28"/>
          <w:szCs w:val="28"/>
        </w:rPr>
      </w:pPr>
      <w:r>
        <w:rPr>
          <w:rFonts w:hint="eastAsia" w:ascii="华文新魏" w:eastAsia="华文新魏"/>
          <w:b/>
          <w:color w:val="000000"/>
          <w:sz w:val="28"/>
          <w:szCs w:val="28"/>
        </w:rPr>
        <w:t>“三废”排放及防治措施</w:t>
      </w:r>
    </w:p>
    <w:p>
      <w:pPr>
        <w:adjustRightInd w:val="0"/>
        <w:snapToGrid w:val="0"/>
        <w:spacing w:before="156" w:beforeLines="50" w:line="400" w:lineRule="exact"/>
        <w:jc w:val="center"/>
        <w:rPr>
          <w:rFonts w:hint="eastAsia" w:ascii="华文新魏" w:eastAsia="华文新魏"/>
          <w:color w:val="000000"/>
        </w:rPr>
      </w:pPr>
      <w:r>
        <w:rPr>
          <w:rFonts w:hint="eastAsia" w:ascii="华文新魏" w:eastAsia="华文新魏"/>
          <w:color w:val="000000"/>
        </w:rPr>
        <w:t>表1 本项目“三废”排放及防治措施</w:t>
      </w:r>
    </w:p>
    <w:tbl>
      <w:tblPr>
        <w:tblStyle w:val="4"/>
        <w:tblW w:w="5004"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419"/>
        <w:gridCol w:w="1081"/>
        <w:gridCol w:w="3754"/>
        <w:gridCol w:w="305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52" w:type="pct"/>
            <w:tcBorders>
              <w:tl2br w:val="nil"/>
              <w:tr2bl w:val="nil"/>
            </w:tcBorders>
            <w:noWrap w:val="0"/>
            <w:vAlign w:val="center"/>
          </w:tcPr>
          <w:p>
            <w:pPr>
              <w:widowControl/>
              <w:adjustRightInd/>
              <w:snapToGrid/>
              <w:spacing w:after="0"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名称</w:t>
            </w:r>
          </w:p>
        </w:tc>
        <w:tc>
          <w:tcPr>
            <w:tcW w:w="650" w:type="pct"/>
            <w:tcBorders>
              <w:tl2br w:val="nil"/>
              <w:tr2bl w:val="nil"/>
            </w:tcBorders>
            <w:noWrap w:val="0"/>
            <w:vAlign w:val="center"/>
          </w:tcPr>
          <w:p>
            <w:pPr>
              <w:widowControl/>
              <w:adjustRightInd/>
              <w:snapToGrid/>
              <w:spacing w:after="0" w:line="240" w:lineRule="auto"/>
              <w:jc w:val="center"/>
              <w:rPr>
                <w:rFonts w:hint="default"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工程类别</w:t>
            </w:r>
          </w:p>
        </w:tc>
        <w:tc>
          <w:tcPr>
            <w:tcW w:w="2257" w:type="pct"/>
            <w:tcBorders>
              <w:tl2br w:val="nil"/>
              <w:tr2bl w:val="nil"/>
            </w:tcBorders>
            <w:noWrap w:val="0"/>
            <w:vAlign w:val="center"/>
          </w:tcPr>
          <w:p>
            <w:pPr>
              <w:widowControl/>
              <w:adjustRightInd/>
              <w:snapToGrid/>
              <w:spacing w:after="0" w:line="240" w:lineRule="auto"/>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环评设计</w:t>
            </w:r>
            <w:r>
              <w:rPr>
                <w:rFonts w:ascii="Times New Roman" w:hAnsi="Times New Roman" w:eastAsia="宋体" w:cs="Times New Roman"/>
                <w:color w:val="auto"/>
                <w:sz w:val="21"/>
                <w:szCs w:val="21"/>
                <w:lang w:eastAsia="zh-CN"/>
              </w:rPr>
              <w:t>工程内容</w:t>
            </w:r>
          </w:p>
        </w:tc>
        <w:tc>
          <w:tcPr>
            <w:tcW w:w="1839" w:type="pct"/>
            <w:tcBorders>
              <w:tl2br w:val="nil"/>
              <w:tr2bl w:val="nil"/>
            </w:tcBorders>
            <w:noWrap w:val="0"/>
            <w:vAlign w:val="center"/>
          </w:tcPr>
          <w:p>
            <w:pPr>
              <w:widowControl/>
              <w:adjustRightInd/>
              <w:snapToGrid/>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实际建设内容</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52" w:type="pct"/>
            <w:vMerge w:val="restart"/>
            <w:tcBorders>
              <w:tl2br w:val="nil"/>
              <w:tr2bl w:val="nil"/>
            </w:tcBorders>
            <w:noWrap w:val="0"/>
            <w:vAlign w:val="center"/>
          </w:tcPr>
          <w:p>
            <w:pPr>
              <w:widowControl/>
              <w:adjustRightInd/>
              <w:snapToGrid/>
              <w:spacing w:after="0"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环保工程</w:t>
            </w:r>
          </w:p>
        </w:tc>
        <w:tc>
          <w:tcPr>
            <w:tcW w:w="650" w:type="pct"/>
            <w:tcBorders>
              <w:tl2br w:val="nil"/>
              <w:tr2bl w:val="nil"/>
            </w:tcBorders>
            <w:noWrap w:val="0"/>
            <w:vAlign w:val="center"/>
          </w:tcPr>
          <w:p>
            <w:pPr>
              <w:widowControl/>
              <w:adjustRightInd/>
              <w:snapToGrid/>
              <w:spacing w:after="0"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废气治理</w:t>
            </w:r>
          </w:p>
        </w:tc>
        <w:tc>
          <w:tcPr>
            <w:tcW w:w="2257" w:type="pct"/>
            <w:tcBorders>
              <w:tl2br w:val="nil"/>
              <w:tr2bl w:val="nil"/>
            </w:tcBorders>
            <w:noWrap w:val="0"/>
            <w:vAlign w:val="center"/>
          </w:tcPr>
          <w:p>
            <w:pPr>
              <w:widowControl/>
              <w:adjustRightInd/>
              <w:snapToGrid/>
              <w:spacing w:after="0" w:line="240" w:lineRule="auto"/>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1、针对新增的酸洗磷化线酸雾废气通过顶吸风+侧吸风后通过新增1套二级碱液喷淋吸收塔，处理风量为8000m</w:t>
            </w:r>
            <w:r>
              <w:rPr>
                <w:rFonts w:hint="default" w:ascii="Times New Roman" w:hAnsi="Times New Roman" w:eastAsia="宋体" w:cs="Times New Roman"/>
                <w:color w:val="auto"/>
                <w:sz w:val="21"/>
                <w:szCs w:val="21"/>
                <w:vertAlign w:val="superscript"/>
                <w:lang w:eastAsia="zh-CN"/>
              </w:rPr>
              <w:t>3</w:t>
            </w:r>
            <w:r>
              <w:rPr>
                <w:rFonts w:hint="default" w:ascii="Times New Roman" w:hAnsi="Times New Roman" w:eastAsia="宋体" w:cs="Times New Roman"/>
                <w:color w:val="auto"/>
                <w:sz w:val="21"/>
                <w:szCs w:val="21"/>
                <w:lang w:eastAsia="zh-CN"/>
              </w:rPr>
              <w:t>/h，处理工艺为碱液中和吸收。2、针对新增浸漆与晾干工艺产生的有机废气新增1套二级活性炭装置，处理风量为10000m³/h，处理工艺为活性炭吸附。3、针对新增喷塑线产生的喷塑粉尘，通过喷塑柜自带吸风装置与滤网捕集装置收集粉尘，处理风量为10000m³/h，处理工艺为滤网捕集过滤。4、固化废气收集后直接接入喷塑粉尘废气排气筒一同排放。5、气枪吹尘粉尘产生量较少，无组织排放。</w:t>
            </w:r>
          </w:p>
        </w:tc>
        <w:tc>
          <w:tcPr>
            <w:tcW w:w="1839" w:type="pct"/>
            <w:tcBorders>
              <w:tl2br w:val="nil"/>
              <w:tr2bl w:val="nil"/>
            </w:tcBorders>
            <w:noWrap w:val="0"/>
            <w:vAlign w:val="center"/>
          </w:tcPr>
          <w:p>
            <w:pPr>
              <w:widowControl/>
              <w:adjustRightInd/>
              <w:snapToGrid/>
              <w:spacing w:after="0" w:line="240" w:lineRule="auto"/>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固化废气收集后</w:t>
            </w:r>
            <w:r>
              <w:rPr>
                <w:rFonts w:hint="eastAsia" w:ascii="Times New Roman" w:hAnsi="Times New Roman" w:eastAsia="宋体" w:cs="Times New Roman"/>
                <w:color w:val="auto"/>
                <w:sz w:val="21"/>
                <w:szCs w:val="21"/>
                <w:lang w:val="en-US" w:eastAsia="zh-CN"/>
              </w:rPr>
              <w:t>不与</w:t>
            </w:r>
            <w:r>
              <w:rPr>
                <w:rFonts w:hint="default" w:ascii="Times New Roman" w:hAnsi="Times New Roman" w:eastAsia="宋体" w:cs="Times New Roman"/>
                <w:color w:val="auto"/>
                <w:sz w:val="21"/>
                <w:szCs w:val="21"/>
                <w:lang w:eastAsia="zh-CN"/>
              </w:rPr>
              <w:t>喷塑粉尘废气</w:t>
            </w:r>
            <w:r>
              <w:rPr>
                <w:rFonts w:hint="eastAsia" w:ascii="Times New Roman" w:hAnsi="Times New Roman" w:eastAsia="宋体" w:cs="Times New Roman"/>
                <w:color w:val="auto"/>
                <w:sz w:val="21"/>
                <w:szCs w:val="21"/>
                <w:lang w:val="en-US" w:eastAsia="zh-CN"/>
              </w:rPr>
              <w:t>混合，固化废气和燃烧废气混合通入一级活性炭吸附装置处理后高空排放。喷塑粉尘处理方式实际采用“旋风+滤芯除尘”处理。其他废气收集处理方式与环评一致。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52" w:type="pct"/>
            <w:vMerge w:val="continue"/>
            <w:tcBorders>
              <w:tl2br w:val="nil"/>
              <w:tr2bl w:val="nil"/>
            </w:tcBorders>
            <w:noWrap w:val="0"/>
            <w:vAlign w:val="center"/>
          </w:tcPr>
          <w:p>
            <w:pPr>
              <w:widowControl/>
              <w:adjustRightInd/>
              <w:snapToGrid/>
              <w:spacing w:after="0" w:line="240" w:lineRule="auto"/>
              <w:jc w:val="center"/>
              <w:rPr>
                <w:rFonts w:ascii="Times New Roman" w:hAnsi="Times New Roman" w:eastAsia="宋体" w:cs="Times New Roman"/>
                <w:color w:val="auto"/>
                <w:sz w:val="21"/>
                <w:szCs w:val="21"/>
                <w:lang w:eastAsia="zh-CN"/>
              </w:rPr>
            </w:pPr>
          </w:p>
        </w:tc>
        <w:tc>
          <w:tcPr>
            <w:tcW w:w="650" w:type="pct"/>
            <w:tcBorders>
              <w:tl2br w:val="nil"/>
              <w:tr2bl w:val="nil"/>
            </w:tcBorders>
            <w:noWrap w:val="0"/>
            <w:vAlign w:val="center"/>
          </w:tcPr>
          <w:p>
            <w:pPr>
              <w:widowControl/>
              <w:adjustRightInd/>
              <w:snapToGrid/>
              <w:spacing w:after="0"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废水治理</w:t>
            </w:r>
          </w:p>
        </w:tc>
        <w:tc>
          <w:tcPr>
            <w:tcW w:w="2257" w:type="pct"/>
            <w:tcBorders>
              <w:tl2br w:val="nil"/>
              <w:tr2bl w:val="nil"/>
            </w:tcBorders>
            <w:noWrap w:val="0"/>
            <w:vAlign w:val="center"/>
          </w:tcPr>
          <w:p>
            <w:pPr>
              <w:widowControl/>
              <w:adjustRightInd/>
              <w:snapToGrid/>
              <w:spacing w:after="0"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硅烷化、超声波清洗以及酸洗磷化工序纳管前不得运行；远期纳管后生产废水经厂内自建废水处理站处理达标后排入市政污水管网</w:t>
            </w:r>
          </w:p>
        </w:tc>
        <w:tc>
          <w:tcPr>
            <w:tcW w:w="1839" w:type="pct"/>
            <w:tcBorders>
              <w:tl2br w:val="nil"/>
              <w:tr2bl w:val="nil"/>
            </w:tcBorders>
            <w:noWrap w:val="0"/>
            <w:vAlign w:val="center"/>
          </w:tcPr>
          <w:p>
            <w:pPr>
              <w:widowControl/>
              <w:adjustRightInd/>
              <w:snapToGrid/>
              <w:spacing w:after="0" w:line="240" w:lineRule="auto"/>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olor w:val="auto"/>
                <w:sz w:val="21"/>
                <w:szCs w:val="21"/>
                <w:lang w:val="en-US" w:eastAsia="zh-CN"/>
              </w:rPr>
              <w:t>已完成纳管并取得排水许可证</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52" w:type="pct"/>
            <w:vMerge w:val="continue"/>
            <w:tcBorders>
              <w:tl2br w:val="nil"/>
              <w:tr2bl w:val="nil"/>
            </w:tcBorders>
            <w:noWrap w:val="0"/>
            <w:vAlign w:val="center"/>
          </w:tcPr>
          <w:p>
            <w:pPr>
              <w:widowControl/>
              <w:adjustRightInd/>
              <w:snapToGrid/>
              <w:spacing w:after="0" w:line="240" w:lineRule="auto"/>
              <w:jc w:val="center"/>
              <w:rPr>
                <w:rFonts w:ascii="Times New Roman" w:hAnsi="Times New Roman" w:eastAsia="宋体" w:cs="Times New Roman"/>
                <w:color w:val="auto"/>
                <w:sz w:val="21"/>
                <w:szCs w:val="21"/>
                <w:lang w:eastAsia="zh-CN"/>
              </w:rPr>
            </w:pPr>
          </w:p>
        </w:tc>
        <w:tc>
          <w:tcPr>
            <w:tcW w:w="650" w:type="pct"/>
            <w:tcBorders>
              <w:tl2br w:val="nil"/>
              <w:tr2bl w:val="nil"/>
            </w:tcBorders>
            <w:noWrap w:val="0"/>
            <w:vAlign w:val="center"/>
          </w:tcPr>
          <w:p>
            <w:pPr>
              <w:widowControl/>
              <w:adjustRightInd/>
              <w:snapToGrid/>
              <w:spacing w:after="0"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固废治理</w:t>
            </w:r>
          </w:p>
        </w:tc>
        <w:tc>
          <w:tcPr>
            <w:tcW w:w="2257" w:type="pct"/>
            <w:tcBorders>
              <w:tl2br w:val="nil"/>
              <w:tr2bl w:val="nil"/>
            </w:tcBorders>
            <w:noWrap w:val="0"/>
            <w:vAlign w:val="center"/>
          </w:tcPr>
          <w:p>
            <w:pPr>
              <w:widowControl/>
              <w:adjustRightInd/>
              <w:snapToGrid/>
              <w:spacing w:after="0"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依托厂区内现有的危废暂存间，面积约50m</w:t>
            </w:r>
            <w:r>
              <w:rPr>
                <w:rFonts w:hint="default" w:ascii="Times New Roman" w:hAnsi="Times New Roman" w:eastAsia="宋体" w:cs="Times New Roman"/>
                <w:color w:val="auto"/>
                <w:sz w:val="21"/>
                <w:szCs w:val="21"/>
                <w:vertAlign w:val="superscript"/>
                <w:lang w:eastAsia="zh-CN"/>
              </w:rPr>
              <w:t>2</w:t>
            </w:r>
            <w:r>
              <w:rPr>
                <w:rFonts w:hint="default" w:ascii="Times New Roman" w:hAnsi="Times New Roman" w:eastAsia="宋体" w:cs="Times New Roman"/>
                <w:color w:val="auto"/>
                <w:sz w:val="21"/>
                <w:szCs w:val="21"/>
                <w:lang w:eastAsia="zh-CN"/>
              </w:rPr>
              <w:t>，位于厂区东北侧。</w:t>
            </w:r>
          </w:p>
        </w:tc>
        <w:tc>
          <w:tcPr>
            <w:tcW w:w="1839" w:type="pct"/>
            <w:tcBorders>
              <w:tl2br w:val="nil"/>
              <w:tr2bl w:val="nil"/>
            </w:tcBorders>
            <w:noWrap w:val="0"/>
            <w:vAlign w:val="center"/>
          </w:tcPr>
          <w:p>
            <w:pPr>
              <w:widowControl/>
              <w:adjustRightInd/>
              <w:snapToGrid/>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auto"/>
                <w:sz w:val="21"/>
                <w:szCs w:val="21"/>
                <w:lang w:val="en-US" w:eastAsia="zh-CN"/>
              </w:rPr>
              <w:t>新建危废暂存间面积约25平方米，</w:t>
            </w:r>
            <w:r>
              <w:rPr>
                <w:rFonts w:hint="default" w:ascii="Times New Roman" w:hAnsi="Times New Roman" w:eastAsia="宋体" w:cs="Times New Roman"/>
                <w:color w:val="auto"/>
                <w:sz w:val="21"/>
                <w:szCs w:val="21"/>
                <w:lang w:eastAsia="zh-CN"/>
              </w:rPr>
              <w:t>位于厂区北侧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52" w:type="pct"/>
            <w:vMerge w:val="continue"/>
            <w:tcBorders>
              <w:tl2br w:val="nil"/>
              <w:tr2bl w:val="nil"/>
            </w:tcBorders>
            <w:noWrap w:val="0"/>
            <w:vAlign w:val="center"/>
          </w:tcPr>
          <w:p>
            <w:pPr>
              <w:widowControl/>
              <w:adjustRightInd/>
              <w:snapToGrid/>
              <w:spacing w:after="0" w:line="240" w:lineRule="auto"/>
              <w:jc w:val="center"/>
              <w:rPr>
                <w:rFonts w:ascii="Times New Roman" w:hAnsi="Times New Roman" w:eastAsia="宋体" w:cs="Times New Roman"/>
                <w:color w:val="auto"/>
                <w:sz w:val="21"/>
                <w:szCs w:val="21"/>
                <w:lang w:eastAsia="zh-CN"/>
              </w:rPr>
            </w:pPr>
          </w:p>
        </w:tc>
        <w:tc>
          <w:tcPr>
            <w:tcW w:w="650" w:type="pct"/>
            <w:tcBorders>
              <w:tl2br w:val="nil"/>
              <w:tr2bl w:val="nil"/>
            </w:tcBorders>
            <w:noWrap w:val="0"/>
            <w:vAlign w:val="center"/>
          </w:tcPr>
          <w:p>
            <w:pPr>
              <w:widowControl/>
              <w:adjustRightInd/>
              <w:snapToGrid/>
              <w:spacing w:after="0"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噪声治理</w:t>
            </w:r>
          </w:p>
        </w:tc>
        <w:tc>
          <w:tcPr>
            <w:tcW w:w="2257" w:type="pct"/>
            <w:tcBorders>
              <w:tl2br w:val="nil"/>
              <w:tr2bl w:val="nil"/>
            </w:tcBorders>
            <w:noWrap w:val="0"/>
            <w:vAlign w:val="center"/>
          </w:tcPr>
          <w:p>
            <w:pPr>
              <w:widowControl/>
              <w:adjustRightInd/>
              <w:snapToGrid/>
              <w:spacing w:after="0"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合理布局、减震垫、隔声窗等降噪措施</w:t>
            </w:r>
          </w:p>
        </w:tc>
        <w:tc>
          <w:tcPr>
            <w:tcW w:w="1839" w:type="pct"/>
            <w:tcBorders>
              <w:tl2br w:val="nil"/>
              <w:tr2bl w:val="nil"/>
            </w:tcBorders>
            <w:noWrap w:val="0"/>
            <w:vAlign w:val="center"/>
          </w:tcPr>
          <w:p>
            <w:pPr>
              <w:widowControl/>
              <w:adjustRightInd/>
              <w:snapToGrid/>
              <w:spacing w:after="0" w:line="240" w:lineRule="auto"/>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olor w:val="auto"/>
                <w:sz w:val="21"/>
                <w:szCs w:val="21"/>
              </w:rPr>
              <w:t>与环评一致</w:t>
            </w:r>
          </w:p>
        </w:tc>
      </w:tr>
    </w:tbl>
    <w:p>
      <w:pPr>
        <w:adjustRightInd w:val="0"/>
        <w:snapToGrid w:val="0"/>
        <w:spacing w:before="156" w:beforeLines="50" w:line="400" w:lineRule="exact"/>
        <w:jc w:val="center"/>
        <w:rPr>
          <w:rFonts w:hint="eastAsia" w:ascii="华文新魏" w:eastAsia="华文新魏"/>
          <w:color w:val="000000"/>
        </w:rPr>
      </w:pPr>
    </w:p>
    <w:p>
      <w:pPr>
        <w:numPr>
          <w:ilvl w:val="0"/>
          <w:numId w:val="1"/>
        </w:numPr>
        <w:adjustRightInd w:val="0"/>
        <w:snapToGrid w:val="0"/>
        <w:spacing w:before="156" w:beforeLines="50" w:line="400" w:lineRule="exact"/>
        <w:ind w:left="0" w:firstLine="0"/>
        <w:rPr>
          <w:rFonts w:hint="eastAsia" w:ascii="华文新魏" w:eastAsia="华文新魏"/>
          <w:b/>
          <w:color w:val="000000"/>
          <w:sz w:val="28"/>
          <w:szCs w:val="28"/>
        </w:rPr>
      </w:pPr>
      <w:r>
        <w:rPr>
          <w:rFonts w:hint="eastAsia" w:ascii="华文新魏" w:eastAsia="华文新魏"/>
          <w:b/>
          <w:color w:val="000000"/>
          <w:sz w:val="28"/>
          <w:szCs w:val="28"/>
        </w:rPr>
        <w:t xml:space="preserve">公众提供有关本项目环保竣工方面的建议或意见的方式和期限 </w:t>
      </w:r>
    </w:p>
    <w:p>
      <w:pPr>
        <w:adjustRightInd w:val="0"/>
        <w:snapToGrid w:val="0"/>
        <w:spacing w:line="400" w:lineRule="exact"/>
        <w:ind w:firstLine="480" w:firstLineChars="200"/>
        <w:rPr>
          <w:rFonts w:hint="eastAsia" w:ascii="华文新魏" w:eastAsia="华文新魏"/>
          <w:color w:val="000000"/>
        </w:rPr>
      </w:pPr>
      <w:r>
        <w:rPr>
          <w:rFonts w:hint="eastAsia" w:ascii="华文新魏" w:eastAsia="华文新魏"/>
          <w:color w:val="000000"/>
        </w:rPr>
        <w:t>自公告之日起</w:t>
      </w:r>
      <w:r>
        <w:rPr>
          <w:rFonts w:hint="eastAsia" w:ascii="华文新魏" w:eastAsia="华文新魏"/>
          <w:color w:val="000000"/>
          <w:lang w:val="en-US" w:eastAsia="zh-CN"/>
        </w:rPr>
        <w:t>二十</w:t>
      </w:r>
      <w:r>
        <w:rPr>
          <w:rFonts w:hint="eastAsia" w:ascii="华文新魏" w:eastAsia="华文新魏"/>
          <w:color w:val="000000"/>
        </w:rPr>
        <w:t>个工作日内，征求相关公众针对企业</w:t>
      </w:r>
      <w:r>
        <w:rPr>
          <w:rFonts w:ascii="华文新魏" w:eastAsia="华文新魏"/>
          <w:color w:val="000000"/>
        </w:rPr>
        <w:t>主体工程调试工况</w:t>
      </w:r>
      <w:r>
        <w:rPr>
          <w:rFonts w:hint="eastAsia" w:ascii="华文新魏" w:eastAsia="华文新魏"/>
          <w:color w:val="000000"/>
        </w:rPr>
        <w:t>是否</w:t>
      </w:r>
      <w:r>
        <w:rPr>
          <w:rFonts w:ascii="华文新魏" w:eastAsia="华文新魏"/>
          <w:color w:val="000000"/>
        </w:rPr>
        <w:t>稳定、环境保护设施运行</w:t>
      </w:r>
      <w:r>
        <w:rPr>
          <w:rFonts w:hint="eastAsia" w:ascii="华文新魏" w:eastAsia="华文新魏"/>
          <w:color w:val="000000"/>
        </w:rPr>
        <w:t>是否</w:t>
      </w:r>
      <w:r>
        <w:rPr>
          <w:rFonts w:ascii="华文新魏" w:eastAsia="华文新魏"/>
          <w:color w:val="000000"/>
        </w:rPr>
        <w:t>正常</w:t>
      </w:r>
      <w:r>
        <w:rPr>
          <w:rFonts w:hint="eastAsia" w:ascii="华文新魏" w:eastAsia="华文新魏"/>
          <w:color w:val="000000"/>
        </w:rPr>
        <w:t>进行监督，或提出建议或意见。</w:t>
      </w:r>
    </w:p>
    <w:p>
      <w:pPr>
        <w:numPr>
          <w:ilvl w:val="0"/>
          <w:numId w:val="1"/>
        </w:numPr>
        <w:adjustRightInd w:val="0"/>
        <w:snapToGrid w:val="0"/>
        <w:spacing w:before="156" w:beforeLines="50" w:line="400" w:lineRule="exact"/>
        <w:ind w:left="0" w:firstLine="0"/>
        <w:rPr>
          <w:rFonts w:hint="eastAsia" w:ascii="华文新魏" w:eastAsia="华文新魏"/>
          <w:b/>
          <w:color w:val="000000"/>
          <w:sz w:val="28"/>
          <w:szCs w:val="28"/>
        </w:rPr>
      </w:pPr>
      <w:r>
        <w:rPr>
          <w:rFonts w:hint="eastAsia" w:ascii="华文新魏" w:eastAsia="华文新魏"/>
          <w:b/>
          <w:color w:val="000000"/>
          <w:sz w:val="28"/>
          <w:szCs w:val="28"/>
        </w:rPr>
        <w:t>公告监督范围和主要事项</w:t>
      </w:r>
    </w:p>
    <w:p>
      <w:pPr>
        <w:adjustRightInd w:val="0"/>
        <w:snapToGrid w:val="0"/>
        <w:spacing w:line="400" w:lineRule="exact"/>
        <w:ind w:firstLine="480" w:firstLineChars="200"/>
        <w:rPr>
          <w:rFonts w:hint="eastAsia" w:ascii="华文新魏" w:eastAsia="华文新魏"/>
          <w:color w:val="000000"/>
        </w:rPr>
      </w:pPr>
      <w:r>
        <w:rPr>
          <w:rFonts w:hint="eastAsia" w:ascii="华文新魏" w:eastAsia="华文新魏"/>
          <w:color w:val="000000"/>
        </w:rPr>
        <w:t>1、公告范围：广大企事业单位或个人。</w:t>
      </w:r>
    </w:p>
    <w:p>
      <w:pPr>
        <w:adjustRightInd w:val="0"/>
        <w:snapToGrid w:val="0"/>
        <w:spacing w:line="400" w:lineRule="exact"/>
        <w:ind w:firstLine="480" w:firstLineChars="200"/>
        <w:rPr>
          <w:rFonts w:hint="eastAsia" w:ascii="华文新魏" w:eastAsia="华文新魏"/>
          <w:color w:val="000000"/>
        </w:rPr>
      </w:pPr>
      <w:r>
        <w:rPr>
          <w:rFonts w:hint="eastAsia" w:ascii="华文新魏" w:eastAsia="华文新魏"/>
          <w:color w:val="000000"/>
        </w:rPr>
        <w:t>2、主要事项：监督与本项目</w:t>
      </w:r>
      <w:r>
        <w:rPr>
          <w:rFonts w:ascii="华文新魏" w:eastAsia="华文新魏"/>
          <w:color w:val="000000"/>
        </w:rPr>
        <w:t>配套建设的环境保护设施</w:t>
      </w:r>
      <w:r>
        <w:rPr>
          <w:rFonts w:hint="eastAsia" w:ascii="华文新魏" w:eastAsia="华文新魏"/>
          <w:color w:val="000000"/>
        </w:rPr>
        <w:t>是否</w:t>
      </w:r>
      <w:r>
        <w:rPr>
          <w:rFonts w:ascii="华文新魏" w:eastAsia="华文新魏"/>
          <w:color w:val="000000"/>
        </w:rPr>
        <w:t>正常</w:t>
      </w:r>
      <w:r>
        <w:rPr>
          <w:rFonts w:hint="eastAsia" w:ascii="华文新魏" w:eastAsia="华文新魏"/>
          <w:color w:val="000000"/>
        </w:rPr>
        <w:t>运行。</w:t>
      </w:r>
    </w:p>
    <w:p>
      <w:pPr>
        <w:numPr>
          <w:ilvl w:val="0"/>
          <w:numId w:val="1"/>
        </w:numPr>
        <w:adjustRightInd w:val="0"/>
        <w:snapToGrid w:val="0"/>
        <w:spacing w:before="156" w:beforeLines="50" w:line="400" w:lineRule="exact"/>
        <w:ind w:left="0" w:firstLine="0"/>
        <w:rPr>
          <w:rFonts w:hint="eastAsia" w:ascii="华文新魏" w:eastAsia="华文新魏"/>
          <w:b/>
          <w:color w:val="000000"/>
          <w:sz w:val="28"/>
          <w:szCs w:val="28"/>
        </w:rPr>
      </w:pPr>
      <w:r>
        <w:rPr>
          <w:rFonts w:hint="eastAsia" w:ascii="华文新魏" w:eastAsia="华文新魏"/>
          <w:b/>
          <w:color w:val="000000"/>
          <w:sz w:val="28"/>
          <w:szCs w:val="28"/>
        </w:rPr>
        <w:t>公告监督的具体形式</w:t>
      </w:r>
    </w:p>
    <w:p>
      <w:pPr>
        <w:adjustRightInd w:val="0"/>
        <w:snapToGrid w:val="0"/>
        <w:spacing w:line="400" w:lineRule="exact"/>
        <w:ind w:firstLine="480" w:firstLineChars="200"/>
        <w:rPr>
          <w:rFonts w:hint="eastAsia" w:ascii="华文新魏" w:eastAsia="华文新魏"/>
          <w:color w:val="000000"/>
          <w:spacing w:val="0"/>
          <w:kern w:val="21"/>
          <w:sz w:val="24"/>
        </w:rPr>
      </w:pPr>
      <w:r>
        <w:rPr>
          <w:rFonts w:hint="eastAsia" w:ascii="华文新魏" w:eastAsia="华文新魏"/>
          <w:color w:val="000000"/>
          <w:spacing w:val="0"/>
          <w:kern w:val="21"/>
          <w:sz w:val="24"/>
        </w:rPr>
        <w:t>公众对本项目</w:t>
      </w:r>
      <w:r>
        <w:rPr>
          <w:rFonts w:ascii="华文新魏" w:eastAsia="华文新魏"/>
          <w:color w:val="000000"/>
          <w:spacing w:val="0"/>
          <w:kern w:val="21"/>
          <w:sz w:val="24"/>
        </w:rPr>
        <w:t>主体工程调试工况</w:t>
      </w:r>
      <w:r>
        <w:rPr>
          <w:rFonts w:hint="eastAsia" w:ascii="华文新魏" w:eastAsia="华文新魏"/>
          <w:color w:val="000000"/>
          <w:spacing w:val="0"/>
          <w:kern w:val="21"/>
          <w:sz w:val="24"/>
        </w:rPr>
        <w:t>是否</w:t>
      </w:r>
      <w:r>
        <w:rPr>
          <w:rFonts w:ascii="华文新魏" w:eastAsia="华文新魏"/>
          <w:color w:val="000000"/>
          <w:spacing w:val="0"/>
          <w:kern w:val="21"/>
          <w:sz w:val="24"/>
        </w:rPr>
        <w:t>稳定、环境保护设施运行</w:t>
      </w:r>
      <w:r>
        <w:rPr>
          <w:rFonts w:hint="eastAsia" w:ascii="华文新魏" w:eastAsia="华文新魏"/>
          <w:color w:val="000000"/>
          <w:spacing w:val="0"/>
          <w:kern w:val="21"/>
          <w:sz w:val="24"/>
        </w:rPr>
        <w:t>是否</w:t>
      </w:r>
      <w:r>
        <w:rPr>
          <w:rFonts w:ascii="华文新魏" w:eastAsia="华文新魏"/>
          <w:color w:val="000000"/>
          <w:spacing w:val="0"/>
          <w:kern w:val="21"/>
          <w:sz w:val="24"/>
        </w:rPr>
        <w:t>正常</w:t>
      </w:r>
      <w:r>
        <w:rPr>
          <w:rFonts w:hint="eastAsia" w:ascii="华文新魏" w:eastAsia="华文新魏"/>
          <w:color w:val="000000"/>
          <w:spacing w:val="0"/>
          <w:kern w:val="21"/>
          <w:sz w:val="24"/>
        </w:rPr>
        <w:t>有建议或意见的，应当自公告之日起</w:t>
      </w:r>
      <w:r>
        <w:rPr>
          <w:rFonts w:hint="eastAsia" w:ascii="华文新魏" w:eastAsia="华文新魏"/>
          <w:color w:val="000000"/>
          <w:spacing w:val="0"/>
          <w:kern w:val="21"/>
          <w:sz w:val="24"/>
          <w:lang w:val="en-US" w:eastAsia="zh-CN"/>
        </w:rPr>
        <w:t>二十</w:t>
      </w:r>
      <w:r>
        <w:rPr>
          <w:rFonts w:hint="eastAsia" w:ascii="华文新魏" w:eastAsia="华文新魏"/>
          <w:color w:val="000000"/>
          <w:spacing w:val="0"/>
          <w:kern w:val="21"/>
          <w:sz w:val="24"/>
        </w:rPr>
        <w:t>个工作日内，可向建设单位提出，也可将书面意见另外抄送负责该建设项目监管的环境保护行政主管部门。</w:t>
      </w:r>
    </w:p>
    <w:p>
      <w:pPr>
        <w:adjustRightInd w:val="0"/>
        <w:snapToGrid w:val="0"/>
        <w:spacing w:line="400" w:lineRule="exact"/>
        <w:ind w:firstLine="480" w:firstLineChars="200"/>
        <w:rPr>
          <w:rFonts w:hint="eastAsia" w:ascii="华文新魏" w:eastAsia="华文新魏"/>
          <w:color w:val="000000"/>
          <w:spacing w:val="0"/>
          <w:kern w:val="21"/>
          <w:sz w:val="24"/>
          <w:lang w:eastAsia="zh-CN"/>
        </w:rPr>
      </w:pPr>
      <w:r>
        <w:rPr>
          <w:rFonts w:hint="eastAsia" w:ascii="华文新魏" w:eastAsia="华文新魏"/>
          <w:color w:val="000000"/>
          <w:spacing w:val="0"/>
          <w:kern w:val="21"/>
          <w:sz w:val="24"/>
        </w:rPr>
        <w:t>环保主管部门：宁波市环境保护局</w:t>
      </w:r>
      <w:r>
        <w:rPr>
          <w:rFonts w:hint="eastAsia" w:ascii="华文新魏" w:eastAsia="华文新魏"/>
          <w:color w:val="000000"/>
          <w:spacing w:val="0"/>
          <w:kern w:val="21"/>
          <w:sz w:val="24"/>
          <w:lang w:val="en-US" w:eastAsia="zh-CN"/>
        </w:rPr>
        <w:t>海曙</w:t>
      </w:r>
      <w:r>
        <w:rPr>
          <w:rFonts w:hint="eastAsia" w:ascii="华文新魏" w:eastAsia="华文新魏"/>
          <w:color w:val="000000"/>
          <w:spacing w:val="0"/>
          <w:kern w:val="21"/>
          <w:sz w:val="24"/>
          <w:lang w:eastAsia="zh-CN"/>
        </w:rPr>
        <w:t>分局</w:t>
      </w:r>
    </w:p>
    <w:p>
      <w:pPr>
        <w:adjustRightInd w:val="0"/>
        <w:snapToGrid w:val="0"/>
        <w:spacing w:line="400" w:lineRule="exact"/>
        <w:ind w:firstLine="480" w:firstLineChars="200"/>
        <w:rPr>
          <w:rFonts w:hint="eastAsia" w:ascii="华文新魏" w:eastAsia="华文新魏"/>
          <w:color w:val="000000"/>
          <w:spacing w:val="0"/>
          <w:kern w:val="21"/>
          <w:sz w:val="24"/>
        </w:rPr>
      </w:pPr>
      <w:r>
        <w:rPr>
          <w:rFonts w:hint="eastAsia" w:ascii="华文新魏" w:eastAsia="华文新魏"/>
          <w:color w:val="000000"/>
          <w:spacing w:val="0"/>
          <w:kern w:val="21"/>
          <w:sz w:val="24"/>
        </w:rPr>
        <w:t>联系电话：12345</w:t>
      </w:r>
    </w:p>
    <w:p>
      <w:pPr>
        <w:adjustRightInd w:val="0"/>
        <w:snapToGrid w:val="0"/>
        <w:spacing w:line="400" w:lineRule="exact"/>
        <w:ind w:firstLine="480" w:firstLineChars="200"/>
        <w:rPr>
          <w:rFonts w:hint="eastAsia" w:ascii="华文新魏" w:hAnsi="Times New Roman" w:eastAsia="华文新魏"/>
          <w:color w:val="000000"/>
          <w:spacing w:val="0"/>
          <w:kern w:val="21"/>
          <w:sz w:val="24"/>
        </w:rPr>
      </w:pPr>
      <w:r>
        <w:rPr>
          <w:rFonts w:hint="eastAsia" w:ascii="华文新魏" w:eastAsia="华文新魏"/>
          <w:color w:val="000000"/>
          <w:spacing w:val="0"/>
          <w:kern w:val="21"/>
          <w:sz w:val="24"/>
        </w:rPr>
        <w:t>建设单位</w:t>
      </w:r>
      <w:r>
        <w:rPr>
          <w:rFonts w:hint="eastAsia" w:ascii="华文新魏" w:hAnsi="Times New Roman" w:eastAsia="华文新魏"/>
          <w:color w:val="000000"/>
          <w:spacing w:val="0"/>
          <w:kern w:val="21"/>
          <w:sz w:val="24"/>
        </w:rPr>
        <w:t>：</w:t>
      </w:r>
      <w:r>
        <w:rPr>
          <w:rFonts w:hint="eastAsia" w:ascii="华文新魏" w:eastAsia="华文新魏"/>
          <w:color w:val="000000"/>
          <w:spacing w:val="0"/>
          <w:kern w:val="21"/>
          <w:sz w:val="24"/>
          <w:lang w:val="en-US" w:eastAsia="zh-CN"/>
        </w:rPr>
        <w:t>宁波莱堡制冷设备有限公司</w:t>
      </w:r>
    </w:p>
    <w:p>
      <w:pPr>
        <w:adjustRightInd w:val="0"/>
        <w:snapToGrid w:val="0"/>
        <w:spacing w:line="400" w:lineRule="exact"/>
        <w:ind w:firstLine="480" w:firstLineChars="200"/>
        <w:rPr>
          <w:rFonts w:hint="default" w:ascii="华文新魏" w:hAnsi="Times New Roman" w:eastAsia="华文新魏"/>
          <w:color w:val="000000"/>
          <w:spacing w:val="0"/>
          <w:kern w:val="21"/>
          <w:sz w:val="24"/>
          <w:lang w:val="en-US"/>
        </w:rPr>
      </w:pPr>
      <w:r>
        <w:rPr>
          <w:rFonts w:hint="eastAsia" w:ascii="华文新魏" w:hAnsi="Times New Roman" w:eastAsia="华文新魏"/>
          <w:color w:val="000000"/>
          <w:spacing w:val="0"/>
          <w:kern w:val="21"/>
          <w:sz w:val="24"/>
        </w:rPr>
        <w:t>联系电话：</w:t>
      </w:r>
      <w:r>
        <w:rPr>
          <w:rFonts w:hint="eastAsia" w:ascii="华文新魏" w:eastAsia="华文新魏"/>
          <w:color w:val="000000"/>
          <w:spacing w:val="0"/>
          <w:kern w:val="21"/>
          <w:sz w:val="24"/>
          <w:lang w:val="en-US" w:eastAsia="zh-CN"/>
        </w:rPr>
        <w:t>0574-87050907</w:t>
      </w:r>
    </w:p>
    <w:p>
      <w:pPr>
        <w:numPr>
          <w:ilvl w:val="0"/>
          <w:numId w:val="1"/>
        </w:numPr>
        <w:adjustRightInd w:val="0"/>
        <w:snapToGrid w:val="0"/>
        <w:spacing w:before="156" w:beforeLines="50" w:line="400" w:lineRule="exact"/>
        <w:ind w:left="0" w:firstLine="0"/>
        <w:rPr>
          <w:rFonts w:hint="eastAsia" w:ascii="华文新魏" w:eastAsia="华文新魏"/>
          <w:b/>
          <w:color w:val="000000"/>
          <w:sz w:val="28"/>
          <w:szCs w:val="28"/>
        </w:rPr>
      </w:pPr>
      <w:r>
        <w:rPr>
          <w:rFonts w:hint="eastAsia" w:ascii="华文新魏" w:eastAsia="华文新魏"/>
          <w:b/>
          <w:color w:val="000000"/>
          <w:sz w:val="28"/>
          <w:szCs w:val="28"/>
        </w:rPr>
        <w:t>公众提出意见的起止时间</w:t>
      </w:r>
    </w:p>
    <w:p>
      <w:pPr>
        <w:adjustRightInd w:val="0"/>
        <w:snapToGrid w:val="0"/>
        <w:spacing w:line="400" w:lineRule="exact"/>
        <w:ind w:firstLine="480" w:firstLineChars="200"/>
        <w:rPr>
          <w:rFonts w:hint="eastAsia" w:ascii="华文新魏" w:eastAsia="华文新魏"/>
          <w:color w:val="000000"/>
        </w:rPr>
      </w:pPr>
      <w:r>
        <w:rPr>
          <w:rFonts w:hint="eastAsia" w:ascii="华文新魏" w:eastAsia="华文新魏"/>
          <w:color w:val="000000"/>
        </w:rPr>
        <w:t>本次公告时间：20</w:t>
      </w:r>
      <w:r>
        <w:rPr>
          <w:rFonts w:hint="eastAsia" w:ascii="华文新魏" w:eastAsia="华文新魏"/>
          <w:color w:val="000000"/>
          <w:lang w:val="en-US" w:eastAsia="zh-CN"/>
        </w:rPr>
        <w:t>24</w:t>
      </w:r>
      <w:r>
        <w:rPr>
          <w:rFonts w:hint="eastAsia" w:ascii="华文新魏" w:eastAsia="华文新魏"/>
          <w:color w:val="000000"/>
        </w:rPr>
        <w:t>年</w:t>
      </w:r>
      <w:r>
        <w:rPr>
          <w:rFonts w:hint="eastAsia" w:ascii="华文新魏" w:eastAsia="华文新魏"/>
          <w:color w:val="000000"/>
          <w:lang w:val="en-US" w:eastAsia="zh-CN"/>
        </w:rPr>
        <w:t>4</w:t>
      </w:r>
      <w:bookmarkStart w:id="0" w:name="_GoBack"/>
      <w:bookmarkEnd w:id="0"/>
      <w:r>
        <w:rPr>
          <w:rFonts w:hint="eastAsia" w:ascii="华文新魏" w:eastAsia="华文新魏"/>
          <w:color w:val="000000"/>
        </w:rPr>
        <w:t>月</w:t>
      </w:r>
      <w:r>
        <w:rPr>
          <w:rFonts w:hint="eastAsia" w:ascii="华文新魏" w:eastAsia="华文新魏"/>
          <w:color w:val="000000"/>
          <w:lang w:val="en-US" w:eastAsia="zh-CN"/>
        </w:rPr>
        <w:t>16</w:t>
      </w:r>
      <w:r>
        <w:rPr>
          <w:rFonts w:hint="eastAsia" w:ascii="华文新魏" w:eastAsia="华文新魏"/>
          <w:color w:val="000000"/>
        </w:rPr>
        <w:t>日～20</w:t>
      </w:r>
      <w:r>
        <w:rPr>
          <w:rFonts w:hint="eastAsia" w:ascii="华文新魏" w:eastAsia="华文新魏"/>
          <w:color w:val="000000"/>
          <w:lang w:val="en-US" w:eastAsia="zh-CN"/>
        </w:rPr>
        <w:t>24</w:t>
      </w:r>
      <w:r>
        <w:rPr>
          <w:rFonts w:hint="eastAsia" w:ascii="华文新魏" w:eastAsia="华文新魏"/>
          <w:color w:val="000000"/>
        </w:rPr>
        <w:t>年</w:t>
      </w:r>
      <w:r>
        <w:rPr>
          <w:rFonts w:hint="eastAsia" w:ascii="华文新魏" w:eastAsia="华文新魏"/>
          <w:color w:val="000000"/>
          <w:lang w:val="en-US" w:eastAsia="zh-CN"/>
        </w:rPr>
        <w:t>5</w:t>
      </w:r>
      <w:r>
        <w:rPr>
          <w:rFonts w:hint="eastAsia" w:ascii="华文新魏" w:eastAsia="华文新魏"/>
          <w:color w:val="000000"/>
        </w:rPr>
        <w:t>月</w:t>
      </w:r>
      <w:r>
        <w:rPr>
          <w:rFonts w:hint="eastAsia" w:ascii="华文新魏" w:eastAsia="华文新魏"/>
          <w:color w:val="000000"/>
          <w:lang w:val="en-US" w:eastAsia="zh-CN"/>
        </w:rPr>
        <w:t>15</w:t>
      </w:r>
      <w:r>
        <w:rPr>
          <w:rFonts w:hint="eastAsia" w:ascii="华文新魏" w:eastAsia="华文新魏"/>
          <w:color w:val="000000"/>
        </w:rPr>
        <w:t>日。</w:t>
      </w:r>
    </w:p>
    <w:p>
      <w:pPr>
        <w:tabs>
          <w:tab w:val="left" w:pos="4785"/>
        </w:tabs>
        <w:adjustRightInd w:val="0"/>
        <w:spacing w:line="400" w:lineRule="exact"/>
        <w:ind w:firstLine="480" w:firstLineChars="200"/>
        <w:rPr>
          <w:rFonts w:hint="eastAsia" w:ascii="华文新魏" w:eastAsia="华文新魏"/>
          <w:color w:val="000000"/>
        </w:rPr>
      </w:pPr>
      <w:r>
        <w:rPr>
          <w:rFonts w:hint="eastAsia" w:ascii="华文新魏" w:eastAsia="华文新魏"/>
          <w:color w:val="000000"/>
        </w:rPr>
        <w:tab/>
      </w:r>
    </w:p>
    <w:p>
      <w:pPr>
        <w:tabs>
          <w:tab w:val="left" w:pos="4785"/>
        </w:tabs>
        <w:adjustRightInd w:val="0"/>
        <w:snapToGrid w:val="0"/>
        <w:spacing w:line="400" w:lineRule="exact"/>
        <w:ind w:firstLine="3840" w:firstLineChars="1600"/>
        <w:jc w:val="right"/>
        <w:rPr>
          <w:rFonts w:hint="eastAsia" w:ascii="华文新魏" w:eastAsia="华文新魏"/>
          <w:color w:val="000000"/>
        </w:rPr>
      </w:pPr>
      <w:r>
        <w:rPr>
          <w:rFonts w:hint="eastAsia" w:ascii="华文新魏" w:eastAsia="华文新魏"/>
          <w:color w:val="000000"/>
        </w:rPr>
        <w:t xml:space="preserve">    发布单位：</w:t>
      </w:r>
      <w:r>
        <w:rPr>
          <w:rFonts w:hint="eastAsia" w:ascii="华文新魏" w:eastAsia="华文新魏"/>
          <w:color w:val="000000"/>
          <w:lang w:val="en-US" w:eastAsia="zh-CN"/>
        </w:rPr>
        <w:t>宁波莱堡制冷设备有限公司</w:t>
      </w:r>
    </w:p>
    <w:p>
      <w:pPr>
        <w:adjustRightInd w:val="0"/>
        <w:snapToGrid w:val="0"/>
        <w:spacing w:line="400" w:lineRule="exact"/>
        <w:ind w:firstLine="4920" w:firstLineChars="2050"/>
        <w:jc w:val="right"/>
        <w:rPr>
          <w:rFonts w:hint="eastAsia" w:ascii="华文新魏" w:eastAsia="华文新魏"/>
          <w:color w:val="000000"/>
        </w:rPr>
      </w:pPr>
      <w:r>
        <w:rPr>
          <w:rFonts w:hint="eastAsia" w:ascii="华文新魏" w:eastAsia="华文新魏"/>
          <w:color w:val="000000"/>
        </w:rPr>
        <w:t xml:space="preserve">  发布时间：20</w:t>
      </w:r>
      <w:r>
        <w:rPr>
          <w:rFonts w:hint="eastAsia" w:ascii="华文新魏" w:eastAsia="华文新魏"/>
          <w:color w:val="000000"/>
          <w:lang w:val="en-US" w:eastAsia="zh-CN"/>
        </w:rPr>
        <w:t>24</w:t>
      </w:r>
      <w:r>
        <w:rPr>
          <w:rFonts w:hint="eastAsia" w:ascii="华文新魏" w:eastAsia="华文新魏"/>
          <w:color w:val="000000"/>
        </w:rPr>
        <w:t>年</w:t>
      </w:r>
      <w:r>
        <w:rPr>
          <w:rFonts w:hint="eastAsia" w:ascii="华文新魏" w:eastAsia="华文新魏"/>
          <w:color w:val="000000"/>
          <w:lang w:val="en-US" w:eastAsia="zh-CN"/>
        </w:rPr>
        <w:t>4</w:t>
      </w:r>
      <w:r>
        <w:rPr>
          <w:rFonts w:hint="eastAsia" w:ascii="华文新魏" w:eastAsia="华文新魏"/>
          <w:color w:val="000000"/>
        </w:rPr>
        <w:t>月</w:t>
      </w:r>
      <w:r>
        <w:rPr>
          <w:rFonts w:hint="eastAsia" w:ascii="华文新魏" w:eastAsia="华文新魏"/>
          <w:color w:val="000000"/>
          <w:lang w:val="en-US" w:eastAsia="zh-CN"/>
        </w:rPr>
        <w:t>16</w:t>
      </w:r>
      <w:r>
        <w:rPr>
          <w:rFonts w:hint="eastAsia" w:ascii="华文新魏" w:eastAsia="华文新魏"/>
          <w:color w:val="000000"/>
        </w:rPr>
        <w:t>日</w:t>
      </w:r>
    </w:p>
    <w:p>
      <w:pPr>
        <w:rPr>
          <w:rFonts w:hint="eastAsia" w:ascii="华文新魏" w:eastAsia="华文新魏"/>
          <w:color w:val="FF0000"/>
          <w:sz w:val="36"/>
          <w:szCs w:val="36"/>
        </w:rPr>
      </w:pP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160E55"/>
    <w:multiLevelType w:val="multilevel"/>
    <w:tmpl w:val="63160E55"/>
    <w:lvl w:ilvl="0" w:tentative="0">
      <w:start w:val="1"/>
      <w:numFmt w:val="japaneseCounting"/>
      <w:lvlText w:val="%1、"/>
      <w:lvlJc w:val="left"/>
      <w:pPr>
        <w:tabs>
          <w:tab w:val="left" w:pos="810"/>
        </w:tabs>
        <w:ind w:left="810" w:hanging="8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ODQ0MTc4NzBhNjAwZjRjMDExNWMxNTJiODEyMTMifQ=="/>
  </w:docVars>
  <w:rsids>
    <w:rsidRoot w:val="00000000"/>
    <w:rsid w:val="28A85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color w:val="000000"/>
      <w:sz w:val="24"/>
      <w:szCs w:val="24"/>
      <w:lang w:val="en-US" w:eastAsia="zh-CN" w:bidi="ar-SA"/>
    </w:rPr>
  </w:style>
  <w:style w:type="paragraph" w:customStyle="1" w:styleId="3">
    <w:name w:val="纯文本1"/>
    <w:basedOn w:val="1"/>
    <w:autoRedefine/>
    <w:qFormat/>
    <w:uiPriority w:val="0"/>
    <w:pPr>
      <w:adjustRightInd w:val="0"/>
      <w:jc w:val="center"/>
    </w:pPr>
    <w:rPr>
      <w:rFonts w:ascii="宋体" w:hAnsi="Courier New"/>
      <w:szCs w:val="20"/>
    </w:rPr>
  </w:style>
  <w:style w:type="paragraph" w:customStyle="1" w:styleId="6">
    <w:name w:val="封面工程项目名称"/>
    <w:basedOn w:val="1"/>
    <w:autoRedefine/>
    <w:qFormat/>
    <w:uiPriority w:val="0"/>
    <w:pPr>
      <w:jc w:val="center"/>
    </w:pPr>
    <w:rPr>
      <w:rFonts w:eastAsia="楷体_GB2312" w:cs="宋体"/>
      <w:b/>
      <w:bCs/>
      <w:spacing w:val="24"/>
      <w:sz w:val="52"/>
      <w:szCs w:val="20"/>
    </w:rPr>
  </w:style>
  <w:style w:type="paragraph" w:customStyle="1" w:styleId="7">
    <w:name w:val="表格文字2"/>
    <w:basedOn w:val="1"/>
    <w:autoRedefine/>
    <w:qFormat/>
    <w:uiPriority w:val="0"/>
    <w:pPr>
      <w:tabs>
        <w:tab w:val="left" w:pos="277"/>
        <w:tab w:val="left" w:pos="600"/>
        <w:tab w:val="left" w:pos="780"/>
        <w:tab w:val="left" w:pos="2517"/>
      </w:tabs>
      <w:adjustRightInd w:val="0"/>
      <w:snapToGrid w:val="0"/>
      <w:spacing w:before="60" w:line="240" w:lineRule="auto"/>
      <w:jc w:val="center"/>
      <w:textAlignment w:val="baseline"/>
    </w:pPr>
    <w:rPr>
      <w:rFonts w:ascii="华文新魏" w:hAnsi="宋体" w:eastAsia="华文新魏" w:cs="宋体"/>
      <w:snapToGrid w:val="0"/>
      <w:color w:val="000000"/>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wwz12</dc:creator>
  <cp:lastModifiedBy>仲</cp:lastModifiedBy>
  <dcterms:modified xsi:type="dcterms:W3CDTF">2024-04-18T12:34:54Z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2B68C56F1098404C96808556C4774857_12</vt:lpwstr>
  </property>
</Properties>
</file>