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hint="eastAsia" w:ascii="Times New Roman" w:hAnsi="Times New Roman" w:eastAsia="宋体"/>
          <w:b/>
          <w:color w:val="auto"/>
          <w:kern w:val="2"/>
          <w:sz w:val="48"/>
          <w:szCs w:val="48"/>
          <w:lang w:eastAsia="zh-CN"/>
        </w:rPr>
      </w:pPr>
      <w:r>
        <w:rPr>
          <w:rFonts w:hint="eastAsia" w:ascii="Times New Roman" w:hAnsi="Times New Roman" w:eastAsia="宋体"/>
          <w:b/>
          <w:color w:val="auto"/>
          <w:kern w:val="2"/>
          <w:sz w:val="48"/>
          <w:szCs w:val="48"/>
          <w:lang w:eastAsia="zh-CN"/>
        </w:rPr>
        <w:t>宁波莱堡制冷设备有限公司</w:t>
      </w:r>
    </w:p>
    <w:p>
      <w:pPr>
        <w:widowControl w:val="0"/>
        <w:adjustRightInd/>
        <w:snapToGrid/>
        <w:spacing w:after="0" w:line="360" w:lineRule="auto"/>
        <w:jc w:val="center"/>
        <w:rPr>
          <w:rFonts w:hint="eastAsia" w:ascii="Times New Roman" w:hAnsi="Times New Roman" w:eastAsia="宋体"/>
          <w:b/>
          <w:color w:val="auto"/>
          <w:kern w:val="2"/>
          <w:sz w:val="48"/>
          <w:szCs w:val="48"/>
          <w:lang w:eastAsia="zh-CN"/>
        </w:rPr>
      </w:pPr>
      <w:r>
        <w:rPr>
          <w:rFonts w:hint="eastAsia" w:ascii="Times New Roman" w:hAnsi="Times New Roman" w:eastAsia="宋体"/>
          <w:b/>
          <w:color w:val="auto"/>
          <w:kern w:val="2"/>
          <w:sz w:val="48"/>
          <w:szCs w:val="48"/>
          <w:lang w:eastAsia="zh-CN"/>
        </w:rPr>
        <w:t>年产10万台电机生产线技改项目</w:t>
      </w:r>
    </w:p>
    <w:p>
      <w:pPr>
        <w:widowControl w:val="0"/>
        <w:adjustRightInd/>
        <w:snapToGrid/>
        <w:spacing w:after="0" w:line="360" w:lineRule="auto"/>
        <w:jc w:val="center"/>
        <w:rPr>
          <w:rFonts w:ascii="Times New Roman" w:hAnsi="Times New Roman" w:eastAsia="宋体"/>
          <w:b/>
          <w:color w:val="auto"/>
          <w:kern w:val="2"/>
          <w:sz w:val="48"/>
          <w:szCs w:val="48"/>
        </w:rPr>
      </w:pPr>
      <w:r>
        <w:rPr>
          <w:rFonts w:ascii="Times New Roman" w:hAnsi="Times New Roman" w:eastAsia="宋体"/>
          <w:b/>
          <w:color w:val="auto"/>
          <w:kern w:val="2"/>
          <w:sz w:val="48"/>
          <w:szCs w:val="48"/>
        </w:rPr>
        <w:t>竣工环境保护验收监测报告表</w:t>
      </w: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pStyle w:val="6"/>
        <w:adjustRightInd/>
        <w:snapToGrid/>
        <w:spacing w:after="0"/>
        <w:rPr>
          <w:rFonts w:hint="default" w:ascii="Times New Roman" w:hAnsi="Times New Roman"/>
          <w:color w:val="auto"/>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ascii="Times New Roman" w:hAnsi="Times New Roman" w:eastAsia="宋体"/>
          <w:color w:val="auto"/>
          <w:kern w:val="2"/>
          <w:sz w:val="28"/>
          <w:szCs w:val="24"/>
        </w:rPr>
      </w:pPr>
    </w:p>
    <w:p>
      <w:pPr>
        <w:widowControl w:val="0"/>
        <w:adjustRightInd/>
        <w:snapToGrid/>
        <w:spacing w:after="0" w:line="360" w:lineRule="auto"/>
        <w:jc w:val="center"/>
        <w:rPr>
          <w:rFonts w:hint="eastAsia" w:ascii="Times New Roman" w:hAnsi="Times New Roman" w:eastAsia="宋体"/>
          <w:color w:val="auto"/>
          <w:kern w:val="2"/>
          <w:sz w:val="32"/>
          <w:szCs w:val="32"/>
          <w:lang w:eastAsia="zh-CN"/>
        </w:rPr>
      </w:pPr>
      <w:r>
        <w:rPr>
          <w:rFonts w:ascii="Times New Roman" w:hAnsi="Times New Roman" w:eastAsia="宋体"/>
          <w:color w:val="auto"/>
          <w:kern w:val="2"/>
          <w:sz w:val="32"/>
          <w:szCs w:val="32"/>
        </w:rPr>
        <w:t>建设单位：</w:t>
      </w:r>
      <w:r>
        <w:rPr>
          <w:rFonts w:hint="eastAsia" w:ascii="Times New Roman" w:hAnsi="Times New Roman" w:eastAsia="宋体"/>
          <w:color w:val="auto"/>
          <w:kern w:val="2"/>
          <w:sz w:val="32"/>
          <w:szCs w:val="32"/>
          <w:lang w:eastAsia="zh-CN"/>
        </w:rPr>
        <w:t>宁波莱堡制冷设备有限公司</w:t>
      </w:r>
    </w:p>
    <w:p>
      <w:pPr>
        <w:widowControl w:val="0"/>
        <w:adjustRightInd/>
        <w:snapToGrid/>
        <w:spacing w:after="0" w:line="360" w:lineRule="auto"/>
        <w:jc w:val="center"/>
        <w:rPr>
          <w:rFonts w:hint="default" w:ascii="Times New Roman" w:hAnsi="Times New Roman" w:eastAsia="宋体"/>
          <w:color w:val="auto"/>
          <w:kern w:val="2"/>
          <w:sz w:val="32"/>
          <w:szCs w:val="32"/>
          <w:lang w:val="en-US" w:eastAsia="zh-CN"/>
        </w:rPr>
      </w:pPr>
      <w:r>
        <w:rPr>
          <w:rFonts w:hint="eastAsia" w:ascii="Times New Roman" w:hAnsi="Times New Roman" w:eastAsia="宋体"/>
          <w:color w:val="auto"/>
          <w:kern w:val="2"/>
          <w:sz w:val="32"/>
          <w:szCs w:val="32"/>
          <w:lang w:val="en-US" w:eastAsia="zh-CN"/>
        </w:rPr>
        <w:t>咨询</w:t>
      </w:r>
      <w:r>
        <w:rPr>
          <w:rFonts w:ascii="Times New Roman" w:hAnsi="Times New Roman" w:eastAsia="宋体"/>
          <w:color w:val="auto"/>
          <w:kern w:val="2"/>
          <w:sz w:val="32"/>
          <w:szCs w:val="32"/>
        </w:rPr>
        <w:t>单位：</w:t>
      </w:r>
      <w:r>
        <w:rPr>
          <w:rFonts w:hint="eastAsia" w:ascii="Times New Roman" w:hAnsi="Times New Roman" w:eastAsia="宋体"/>
          <w:color w:val="auto"/>
          <w:kern w:val="2"/>
          <w:sz w:val="32"/>
          <w:szCs w:val="32"/>
          <w:lang w:val="en-US" w:eastAsia="zh-CN"/>
        </w:rPr>
        <w:t>浙江双源环境科技有限公司</w:t>
      </w:r>
    </w:p>
    <w:p>
      <w:pPr>
        <w:adjustRightInd/>
        <w:snapToGrid/>
        <w:spacing w:after="0"/>
        <w:rPr>
          <w:rFonts w:ascii="Times New Roman" w:hAnsi="Times New Roman" w:eastAsia="宋体"/>
          <w:b/>
          <w:color w:val="auto"/>
          <w:kern w:val="2"/>
          <w:sz w:val="28"/>
          <w:szCs w:val="28"/>
        </w:rPr>
      </w:pPr>
    </w:p>
    <w:p>
      <w:pPr>
        <w:adjustRightInd/>
        <w:snapToGrid/>
        <w:spacing w:after="0"/>
        <w:ind w:firstLine="562" w:firstLineChars="200"/>
        <w:rPr>
          <w:rFonts w:ascii="Times New Roman" w:hAnsi="Times New Roman" w:eastAsia="宋体"/>
          <w:b/>
          <w:color w:val="auto"/>
          <w:kern w:val="2"/>
          <w:sz w:val="28"/>
          <w:szCs w:val="28"/>
        </w:rPr>
      </w:pPr>
    </w:p>
    <w:p>
      <w:pPr>
        <w:adjustRightInd/>
        <w:snapToGrid/>
        <w:spacing w:after="0"/>
        <w:jc w:val="center"/>
        <w:rPr>
          <w:rFonts w:ascii="Times New Roman" w:hAnsi="Times New Roman" w:eastAsia="宋体"/>
          <w:color w:val="auto"/>
          <w:sz w:val="32"/>
        </w:rPr>
        <w:sectPr>
          <w:footerReference r:id="rId4" w:type="default"/>
          <w:pgSz w:w="11906" w:h="16838"/>
          <w:pgMar w:top="1417" w:right="1417" w:bottom="1417" w:left="1417" w:header="709" w:footer="709" w:gutter="0"/>
          <w:pgBorders>
            <w:top w:val="none" w:sz="0" w:space="0"/>
            <w:left w:val="none" w:sz="0" w:space="0"/>
            <w:bottom w:val="none" w:sz="0" w:space="0"/>
            <w:right w:val="none" w:sz="0" w:space="0"/>
          </w:pgBorders>
          <w:pgNumType w:start="1"/>
          <w:cols w:space="720" w:num="1"/>
          <w:rtlGutter w:val="0"/>
          <w:docGrid w:linePitch="360" w:charSpace="0"/>
        </w:sectPr>
      </w:pPr>
      <w:r>
        <w:rPr>
          <w:rFonts w:ascii="Times New Roman" w:hAnsi="Times New Roman" w:eastAsia="宋体"/>
          <w:b/>
          <w:color w:val="auto"/>
          <w:kern w:val="2"/>
          <w:sz w:val="28"/>
          <w:szCs w:val="28"/>
        </w:rPr>
        <w:t>202</w:t>
      </w:r>
      <w:r>
        <w:rPr>
          <w:rFonts w:hint="eastAsia" w:ascii="Times New Roman" w:hAnsi="Times New Roman" w:eastAsia="宋体"/>
          <w:b/>
          <w:color w:val="auto"/>
          <w:kern w:val="2"/>
          <w:sz w:val="28"/>
          <w:szCs w:val="28"/>
          <w:lang w:val="en-US" w:eastAsia="zh-CN"/>
        </w:rPr>
        <w:t>4</w:t>
      </w:r>
      <w:r>
        <w:rPr>
          <w:rFonts w:ascii="Times New Roman" w:hAnsi="Times New Roman" w:eastAsia="宋体"/>
          <w:b/>
          <w:color w:val="auto"/>
          <w:kern w:val="2"/>
          <w:sz w:val="28"/>
          <w:szCs w:val="28"/>
        </w:rPr>
        <w:t>年</w:t>
      </w:r>
      <w:r>
        <w:rPr>
          <w:rFonts w:hint="eastAsia" w:ascii="Times New Roman" w:hAnsi="Times New Roman" w:eastAsia="宋体"/>
          <w:b/>
          <w:color w:val="auto"/>
          <w:kern w:val="2"/>
          <w:sz w:val="28"/>
          <w:szCs w:val="28"/>
          <w:lang w:val="en-US" w:eastAsia="zh-CN"/>
        </w:rPr>
        <w:t>3</w:t>
      </w:r>
      <w:r>
        <w:rPr>
          <w:rFonts w:ascii="Times New Roman" w:hAnsi="Times New Roman" w:eastAsia="宋体"/>
          <w:b/>
          <w:color w:val="auto"/>
          <w:kern w:val="2"/>
          <w:sz w:val="28"/>
          <w:szCs w:val="28"/>
        </w:rPr>
        <w:t>月</w:t>
      </w:r>
    </w:p>
    <w:p>
      <w:pPr>
        <w:adjustRightInd/>
        <w:snapToGrid/>
        <w:spacing w:after="0" w:line="360" w:lineRule="auto"/>
        <w:jc w:val="both"/>
        <w:rPr>
          <w:rFonts w:ascii="Times New Roman" w:hAnsi="Times New Roman" w:eastAsia="宋体"/>
          <w:b/>
          <w:bCs/>
          <w:color w:val="auto"/>
          <w:sz w:val="28"/>
          <w:szCs w:val="21"/>
        </w:rPr>
      </w:pPr>
    </w:p>
    <w:p>
      <w:pPr>
        <w:adjustRightInd/>
        <w:snapToGrid/>
        <w:spacing w:after="0" w:line="360" w:lineRule="auto"/>
        <w:jc w:val="both"/>
        <w:rPr>
          <w:rFonts w:ascii="Times New Roman" w:hAnsi="Times New Roman" w:eastAsia="宋体"/>
          <w:b/>
          <w:bCs/>
          <w:color w:val="auto"/>
          <w:sz w:val="28"/>
          <w:szCs w:val="21"/>
        </w:rPr>
      </w:pPr>
      <w:r>
        <w:rPr>
          <w:rFonts w:ascii="Times New Roman" w:hAnsi="Times New Roman" w:eastAsia="宋体"/>
          <w:b/>
          <w:bCs/>
          <w:color w:val="auto"/>
          <w:sz w:val="28"/>
          <w:szCs w:val="21"/>
        </w:rPr>
        <w:t>建设单位法人代表:</w:t>
      </w:r>
      <w:r>
        <w:rPr>
          <w:rFonts w:ascii="Times New Roman" w:hAnsi="Times New Roman" w:eastAsia="宋体"/>
          <w:b/>
          <w:bCs/>
          <w:color w:val="auto"/>
          <w:sz w:val="28"/>
          <w:szCs w:val="21"/>
        </w:rPr>
        <w:tab/>
      </w:r>
      <w:r>
        <w:rPr>
          <w:rFonts w:ascii="Times New Roman" w:hAnsi="Times New Roman" w:eastAsia="宋体"/>
          <w:b/>
          <w:bCs/>
          <w:color w:val="auto"/>
          <w:sz w:val="28"/>
          <w:szCs w:val="21"/>
        </w:rPr>
        <w:t>（签字）</w:t>
      </w:r>
    </w:p>
    <w:p>
      <w:pPr>
        <w:adjustRightInd/>
        <w:snapToGrid/>
        <w:spacing w:after="0" w:line="360" w:lineRule="auto"/>
        <w:jc w:val="both"/>
        <w:rPr>
          <w:rFonts w:ascii="Times New Roman" w:hAnsi="Times New Roman" w:eastAsia="宋体"/>
          <w:b/>
          <w:bCs/>
          <w:color w:val="auto"/>
          <w:sz w:val="28"/>
          <w:szCs w:val="21"/>
        </w:rPr>
      </w:pPr>
      <w:r>
        <w:rPr>
          <w:rFonts w:hint="eastAsia" w:ascii="Times New Roman" w:hAnsi="Times New Roman" w:eastAsia="宋体"/>
          <w:b/>
          <w:bCs/>
          <w:color w:val="auto"/>
          <w:sz w:val="28"/>
          <w:szCs w:val="21"/>
          <w:lang w:val="en-US" w:eastAsia="zh-CN"/>
        </w:rPr>
        <w:t>咨询</w:t>
      </w:r>
      <w:r>
        <w:rPr>
          <w:rFonts w:ascii="Times New Roman" w:hAnsi="Times New Roman" w:eastAsia="宋体"/>
          <w:b/>
          <w:bCs/>
          <w:color w:val="auto"/>
          <w:sz w:val="28"/>
          <w:szCs w:val="21"/>
        </w:rPr>
        <w:t>单位法人代表:</w:t>
      </w:r>
      <w:r>
        <w:rPr>
          <w:rFonts w:ascii="Times New Roman" w:hAnsi="Times New Roman" w:eastAsia="宋体"/>
          <w:b/>
          <w:bCs/>
          <w:color w:val="auto"/>
          <w:sz w:val="28"/>
          <w:szCs w:val="21"/>
        </w:rPr>
        <w:tab/>
      </w:r>
      <w:r>
        <w:rPr>
          <w:rFonts w:ascii="Times New Roman" w:hAnsi="Times New Roman" w:eastAsia="宋体"/>
          <w:b/>
          <w:bCs/>
          <w:color w:val="auto"/>
          <w:sz w:val="28"/>
          <w:szCs w:val="21"/>
        </w:rPr>
        <w:t>（签字）</w:t>
      </w:r>
    </w:p>
    <w:p>
      <w:pPr>
        <w:adjustRightInd/>
        <w:snapToGrid/>
        <w:spacing w:after="0" w:line="360" w:lineRule="auto"/>
        <w:jc w:val="both"/>
        <w:rPr>
          <w:rFonts w:ascii="Times New Roman" w:hAnsi="Times New Roman" w:eastAsia="宋体"/>
          <w:b/>
          <w:bCs/>
          <w:color w:val="auto"/>
          <w:sz w:val="28"/>
          <w:szCs w:val="21"/>
        </w:rPr>
      </w:pPr>
      <w:r>
        <w:rPr>
          <w:rFonts w:ascii="Times New Roman" w:hAnsi="Times New Roman" w:eastAsia="宋体"/>
          <w:b/>
          <w:bCs/>
          <w:color w:val="auto"/>
          <w:sz w:val="28"/>
          <w:szCs w:val="21"/>
        </w:rPr>
        <w:t>项目负责人：</w:t>
      </w:r>
    </w:p>
    <w:p>
      <w:pPr>
        <w:adjustRightInd/>
        <w:snapToGrid/>
        <w:spacing w:after="0" w:line="360" w:lineRule="auto"/>
        <w:jc w:val="both"/>
        <w:rPr>
          <w:rFonts w:ascii="Times New Roman" w:hAnsi="Times New Roman" w:eastAsia="宋体"/>
          <w:b/>
          <w:bCs/>
          <w:color w:val="auto"/>
          <w:sz w:val="28"/>
          <w:szCs w:val="21"/>
        </w:rPr>
      </w:pPr>
      <w:r>
        <w:rPr>
          <w:rFonts w:ascii="Times New Roman" w:hAnsi="Times New Roman" w:eastAsia="宋体"/>
          <w:b/>
          <w:bCs/>
          <w:color w:val="auto"/>
          <w:sz w:val="28"/>
          <w:szCs w:val="21"/>
        </w:rPr>
        <w:t>报告编写人：</w:t>
      </w: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adjustRightInd/>
        <w:snapToGrid/>
        <w:spacing w:after="0"/>
        <w:rPr>
          <w:rFonts w:ascii="Times New Roman" w:hAnsi="Times New Roman" w:eastAsia="宋体"/>
          <w:color w:val="auto"/>
          <w:sz w:val="32"/>
        </w:rPr>
      </w:pPr>
    </w:p>
    <w:p>
      <w:pPr>
        <w:pStyle w:val="2"/>
        <w:rPr>
          <w:rFonts w:ascii="Times New Roman" w:hAnsi="Times New Roman" w:eastAsia="宋体"/>
          <w:color w:val="auto"/>
          <w:sz w:val="32"/>
        </w:rPr>
      </w:pPr>
    </w:p>
    <w:p>
      <w:pPr>
        <w:pStyle w:val="2"/>
        <w:rPr>
          <w:rFonts w:ascii="Times New Roman" w:hAnsi="Times New Roman" w:eastAsia="宋体"/>
          <w:color w:val="auto"/>
          <w:sz w:val="32"/>
        </w:rPr>
      </w:pPr>
    </w:p>
    <w:tbl>
      <w:tblPr>
        <w:tblStyle w:val="11"/>
        <w:tblpPr w:leftFromText="180" w:rightFromText="180" w:vertAnchor="text" w:horzAnchor="page" w:tblpX="1586" w:tblpY="191"/>
        <w:tblOverlap w:val="never"/>
        <w:tblW w:w="0" w:type="auto"/>
        <w:tblInd w:w="0" w:type="dxa"/>
        <w:tblLayout w:type="fixed"/>
        <w:tblCellMar>
          <w:top w:w="0" w:type="dxa"/>
          <w:left w:w="108" w:type="dxa"/>
          <w:bottom w:w="0" w:type="dxa"/>
          <w:right w:w="108" w:type="dxa"/>
        </w:tblCellMar>
      </w:tblPr>
      <w:tblGrid>
        <w:gridCol w:w="841"/>
        <w:gridCol w:w="3667"/>
        <w:gridCol w:w="868"/>
        <w:gridCol w:w="3627"/>
      </w:tblGrid>
      <w:tr>
        <w:tblPrEx>
          <w:tblCellMar>
            <w:top w:w="0" w:type="dxa"/>
            <w:left w:w="108" w:type="dxa"/>
            <w:bottom w:w="0" w:type="dxa"/>
            <w:right w:w="108" w:type="dxa"/>
          </w:tblCellMar>
        </w:tblPrEx>
        <w:trPr>
          <w:trHeight w:val="492" w:hRule="atLeast"/>
        </w:trPr>
        <w:tc>
          <w:tcPr>
            <w:tcW w:w="4508" w:type="dxa"/>
            <w:gridSpan w:val="2"/>
            <w:noWrap w:val="0"/>
            <w:vAlign w:val="center"/>
          </w:tcPr>
          <w:p>
            <w:pPr>
              <w:autoSpaceDE w:val="0"/>
              <w:autoSpaceDN w:val="0"/>
              <w:adjustRightInd/>
              <w:snapToGrid/>
              <w:spacing w:after="0"/>
              <w:rPr>
                <w:rFonts w:hint="eastAsia" w:ascii="Times New Roman" w:hAnsi="Times New Roman" w:eastAsia="宋体"/>
                <w:color w:val="auto"/>
                <w:lang w:eastAsia="zh-CN"/>
              </w:rPr>
            </w:pPr>
            <w:r>
              <w:rPr>
                <w:rFonts w:ascii="Times New Roman" w:hAnsi="Times New Roman" w:eastAsia="宋体"/>
                <w:color w:val="auto"/>
              </w:rPr>
              <w:t>建设单位</w:t>
            </w:r>
            <w:r>
              <w:rPr>
                <w:rFonts w:hint="eastAsia" w:ascii="Times New Roman" w:hAnsi="Times New Roman" w:eastAsia="宋体"/>
                <w:color w:val="auto"/>
                <w:lang w:eastAsia="zh-CN"/>
              </w:rPr>
              <w:t>：宁波莱堡制冷设备有限公司</w:t>
            </w:r>
          </w:p>
        </w:tc>
        <w:tc>
          <w:tcPr>
            <w:tcW w:w="4495" w:type="dxa"/>
            <w:gridSpan w:val="2"/>
            <w:noWrap w:val="0"/>
            <w:vAlign w:val="center"/>
          </w:tcPr>
          <w:p>
            <w:pPr>
              <w:autoSpaceDE w:val="0"/>
              <w:autoSpaceDN w:val="0"/>
              <w:adjustRightInd/>
              <w:snapToGrid/>
              <w:spacing w:after="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咨询</w:t>
            </w:r>
            <w:r>
              <w:rPr>
                <w:rFonts w:ascii="Times New Roman" w:hAnsi="Times New Roman" w:eastAsia="宋体"/>
                <w:color w:val="auto"/>
              </w:rPr>
              <w:t>单位</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浙江双源环境科技有限公司</w:t>
            </w:r>
          </w:p>
        </w:tc>
      </w:tr>
      <w:tr>
        <w:tblPrEx>
          <w:tblCellMar>
            <w:top w:w="0" w:type="dxa"/>
            <w:left w:w="108" w:type="dxa"/>
            <w:bottom w:w="0" w:type="dxa"/>
            <w:right w:w="108" w:type="dxa"/>
          </w:tblCellMar>
        </w:tblPrEx>
        <w:trPr>
          <w:trHeight w:val="492" w:hRule="atLeast"/>
        </w:trPr>
        <w:tc>
          <w:tcPr>
            <w:tcW w:w="841"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电话：</w:t>
            </w:r>
          </w:p>
        </w:tc>
        <w:tc>
          <w:tcPr>
            <w:tcW w:w="3667" w:type="dxa"/>
            <w:noWrap w:val="0"/>
            <w:vAlign w:val="center"/>
          </w:tcPr>
          <w:p>
            <w:pPr>
              <w:autoSpaceDE w:val="0"/>
              <w:autoSpaceDN w:val="0"/>
              <w:adjustRightInd/>
              <w:snapToGrid/>
              <w:spacing w:after="0"/>
              <w:rPr>
                <w:rFonts w:ascii="Times New Roman" w:hAnsi="Times New Roman" w:eastAsia="宋体"/>
                <w:color w:val="auto"/>
              </w:rPr>
            </w:pPr>
          </w:p>
        </w:tc>
        <w:tc>
          <w:tcPr>
            <w:tcW w:w="868"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电话：</w:t>
            </w:r>
          </w:p>
        </w:tc>
        <w:tc>
          <w:tcPr>
            <w:tcW w:w="3627" w:type="dxa"/>
            <w:noWrap w:val="0"/>
            <w:vAlign w:val="center"/>
          </w:tcPr>
          <w:p>
            <w:pPr>
              <w:autoSpaceDE w:val="0"/>
              <w:autoSpaceDN w:val="0"/>
              <w:adjustRightInd/>
              <w:snapToGrid/>
              <w:spacing w:after="0"/>
              <w:rPr>
                <w:rFonts w:ascii="Times New Roman" w:hAnsi="Times New Roman" w:eastAsia="宋体"/>
                <w:color w:val="auto"/>
              </w:rPr>
            </w:pPr>
          </w:p>
        </w:tc>
      </w:tr>
      <w:tr>
        <w:tblPrEx>
          <w:tblCellMar>
            <w:top w:w="0" w:type="dxa"/>
            <w:left w:w="108" w:type="dxa"/>
            <w:bottom w:w="0" w:type="dxa"/>
            <w:right w:w="108" w:type="dxa"/>
          </w:tblCellMar>
        </w:tblPrEx>
        <w:trPr>
          <w:trHeight w:val="492" w:hRule="atLeast"/>
        </w:trPr>
        <w:tc>
          <w:tcPr>
            <w:tcW w:w="841"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传真：</w:t>
            </w:r>
          </w:p>
        </w:tc>
        <w:tc>
          <w:tcPr>
            <w:tcW w:w="3667" w:type="dxa"/>
            <w:noWrap w:val="0"/>
            <w:vAlign w:val="center"/>
          </w:tcPr>
          <w:p>
            <w:pPr>
              <w:autoSpaceDE w:val="0"/>
              <w:autoSpaceDN w:val="0"/>
              <w:adjustRightInd/>
              <w:snapToGrid/>
              <w:spacing w:after="0"/>
              <w:rPr>
                <w:rFonts w:ascii="Times New Roman" w:hAnsi="Times New Roman" w:eastAsia="宋体"/>
                <w:color w:val="auto"/>
              </w:rPr>
            </w:pPr>
          </w:p>
        </w:tc>
        <w:tc>
          <w:tcPr>
            <w:tcW w:w="868"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传真：</w:t>
            </w:r>
          </w:p>
        </w:tc>
        <w:tc>
          <w:tcPr>
            <w:tcW w:w="3627" w:type="dxa"/>
            <w:noWrap w:val="0"/>
            <w:vAlign w:val="center"/>
          </w:tcPr>
          <w:p>
            <w:pPr>
              <w:autoSpaceDE w:val="0"/>
              <w:autoSpaceDN w:val="0"/>
              <w:adjustRightInd/>
              <w:snapToGrid/>
              <w:spacing w:after="0"/>
              <w:rPr>
                <w:rFonts w:ascii="Times New Roman" w:hAnsi="Times New Roman" w:eastAsia="宋体"/>
                <w:color w:val="auto"/>
              </w:rPr>
            </w:pPr>
          </w:p>
        </w:tc>
      </w:tr>
      <w:tr>
        <w:tblPrEx>
          <w:tblCellMar>
            <w:top w:w="0" w:type="dxa"/>
            <w:left w:w="108" w:type="dxa"/>
            <w:bottom w:w="0" w:type="dxa"/>
            <w:right w:w="108" w:type="dxa"/>
          </w:tblCellMar>
        </w:tblPrEx>
        <w:trPr>
          <w:trHeight w:val="492" w:hRule="atLeast"/>
        </w:trPr>
        <w:tc>
          <w:tcPr>
            <w:tcW w:w="841"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邮编：</w:t>
            </w:r>
          </w:p>
        </w:tc>
        <w:tc>
          <w:tcPr>
            <w:tcW w:w="3667" w:type="dxa"/>
            <w:noWrap w:val="0"/>
            <w:vAlign w:val="center"/>
          </w:tcPr>
          <w:p>
            <w:pPr>
              <w:autoSpaceDE w:val="0"/>
              <w:autoSpaceDN w:val="0"/>
              <w:adjustRightInd/>
              <w:snapToGrid/>
              <w:spacing w:after="0"/>
              <w:rPr>
                <w:rFonts w:ascii="Times New Roman" w:hAnsi="Times New Roman" w:eastAsia="宋体"/>
                <w:color w:val="auto"/>
              </w:rPr>
            </w:pPr>
          </w:p>
        </w:tc>
        <w:tc>
          <w:tcPr>
            <w:tcW w:w="868" w:type="dxa"/>
            <w:noWrap w:val="0"/>
            <w:vAlign w:val="center"/>
          </w:tcPr>
          <w:p>
            <w:pPr>
              <w:autoSpaceDE w:val="0"/>
              <w:autoSpaceDN w:val="0"/>
              <w:adjustRightInd/>
              <w:snapToGrid/>
              <w:spacing w:after="0"/>
              <w:rPr>
                <w:rFonts w:ascii="Times New Roman" w:hAnsi="Times New Roman" w:eastAsia="宋体"/>
                <w:color w:val="auto"/>
              </w:rPr>
            </w:pPr>
            <w:r>
              <w:rPr>
                <w:rFonts w:ascii="Times New Roman" w:hAnsi="Times New Roman" w:eastAsia="宋体"/>
                <w:color w:val="auto"/>
              </w:rPr>
              <w:t>邮编：</w:t>
            </w:r>
          </w:p>
        </w:tc>
        <w:tc>
          <w:tcPr>
            <w:tcW w:w="3627" w:type="dxa"/>
            <w:noWrap w:val="0"/>
            <w:vAlign w:val="center"/>
          </w:tcPr>
          <w:p>
            <w:pPr>
              <w:autoSpaceDE w:val="0"/>
              <w:autoSpaceDN w:val="0"/>
              <w:adjustRightInd/>
              <w:snapToGrid/>
              <w:spacing w:after="0"/>
              <w:rPr>
                <w:rFonts w:ascii="Times New Roman" w:hAnsi="Times New Roman" w:eastAsia="宋体"/>
                <w:color w:val="auto"/>
              </w:rPr>
            </w:pPr>
          </w:p>
        </w:tc>
      </w:tr>
      <w:tr>
        <w:tblPrEx>
          <w:tblCellMar>
            <w:top w:w="0" w:type="dxa"/>
            <w:left w:w="108" w:type="dxa"/>
            <w:bottom w:w="0" w:type="dxa"/>
            <w:right w:w="108" w:type="dxa"/>
          </w:tblCellMar>
        </w:tblPrEx>
        <w:trPr>
          <w:trHeight w:val="472" w:hRule="atLeast"/>
        </w:trPr>
        <w:tc>
          <w:tcPr>
            <w:tcW w:w="841" w:type="dxa"/>
            <w:noWrap w:val="0"/>
            <w:vAlign w:val="center"/>
          </w:tcPr>
          <w:p>
            <w:pPr>
              <w:autoSpaceDE w:val="0"/>
              <w:autoSpaceDN w:val="0"/>
              <w:adjustRightInd/>
              <w:snapToGrid/>
              <w:spacing w:after="0"/>
              <w:jc w:val="both"/>
              <w:rPr>
                <w:rFonts w:ascii="Times New Roman" w:hAnsi="Times New Roman" w:eastAsia="宋体"/>
                <w:color w:val="auto"/>
              </w:rPr>
            </w:pPr>
            <w:r>
              <w:rPr>
                <w:rFonts w:ascii="Times New Roman" w:hAnsi="Times New Roman" w:eastAsia="宋体"/>
                <w:color w:val="auto"/>
              </w:rPr>
              <w:t>地址：</w:t>
            </w:r>
          </w:p>
        </w:tc>
        <w:tc>
          <w:tcPr>
            <w:tcW w:w="3667" w:type="dxa"/>
            <w:noWrap w:val="0"/>
            <w:vAlign w:val="center"/>
          </w:tcPr>
          <w:p>
            <w:pPr>
              <w:autoSpaceDE w:val="0"/>
              <w:autoSpaceDN w:val="0"/>
              <w:adjustRightInd/>
              <w:snapToGrid/>
              <w:spacing w:after="0"/>
              <w:jc w:val="both"/>
              <w:rPr>
                <w:rFonts w:ascii="Times New Roman" w:hAnsi="Times New Roman" w:eastAsia="宋体"/>
                <w:color w:val="auto"/>
              </w:rPr>
            </w:pPr>
          </w:p>
        </w:tc>
        <w:tc>
          <w:tcPr>
            <w:tcW w:w="868" w:type="dxa"/>
            <w:noWrap w:val="0"/>
            <w:vAlign w:val="center"/>
          </w:tcPr>
          <w:p>
            <w:pPr>
              <w:autoSpaceDE w:val="0"/>
              <w:autoSpaceDN w:val="0"/>
              <w:adjustRightInd/>
              <w:snapToGrid/>
              <w:spacing w:after="0"/>
              <w:jc w:val="both"/>
              <w:rPr>
                <w:rFonts w:ascii="Times New Roman" w:hAnsi="Times New Roman" w:eastAsia="宋体"/>
                <w:color w:val="auto"/>
              </w:rPr>
            </w:pPr>
            <w:r>
              <w:rPr>
                <w:rFonts w:ascii="Times New Roman" w:hAnsi="Times New Roman" w:eastAsia="宋体"/>
                <w:color w:val="auto"/>
              </w:rPr>
              <w:t>地址：</w:t>
            </w:r>
          </w:p>
        </w:tc>
        <w:tc>
          <w:tcPr>
            <w:tcW w:w="3627" w:type="dxa"/>
            <w:noWrap w:val="0"/>
            <w:vAlign w:val="center"/>
          </w:tcPr>
          <w:p>
            <w:pPr>
              <w:autoSpaceDE w:val="0"/>
              <w:autoSpaceDN w:val="0"/>
              <w:adjustRightInd/>
              <w:snapToGrid/>
              <w:spacing w:after="0"/>
              <w:jc w:val="both"/>
              <w:rPr>
                <w:rFonts w:ascii="Times New Roman" w:hAnsi="Times New Roman" w:eastAsia="宋体"/>
                <w:color w:val="auto"/>
              </w:rPr>
            </w:pPr>
          </w:p>
        </w:tc>
      </w:tr>
    </w:tbl>
    <w:p>
      <w:pPr>
        <w:adjustRightInd/>
        <w:snapToGrid/>
        <w:spacing w:after="0"/>
        <w:rPr>
          <w:rFonts w:ascii="Times New Roman" w:hAnsi="Times New Roman" w:eastAsia="宋体"/>
          <w:color w:val="auto"/>
          <w:sz w:val="32"/>
        </w:rPr>
      </w:pPr>
    </w:p>
    <w:p>
      <w:pPr>
        <w:adjustRightInd/>
        <w:snapToGrid/>
        <w:spacing w:after="0" w:line="360" w:lineRule="auto"/>
        <w:rPr>
          <w:rFonts w:ascii="Times New Roman" w:hAnsi="Times New Roman" w:eastAsia="宋体"/>
          <w:color w:val="auto"/>
          <w:sz w:val="28"/>
        </w:rPr>
      </w:pPr>
    </w:p>
    <w:p>
      <w:pPr>
        <w:adjustRightInd/>
        <w:snapToGrid/>
        <w:spacing w:after="0" w:line="360" w:lineRule="auto"/>
        <w:rPr>
          <w:rFonts w:ascii="Times New Roman" w:hAnsi="Times New Roman" w:eastAsia="宋体"/>
          <w:color w:val="auto"/>
          <w:sz w:val="28"/>
        </w:rPr>
        <w:sectPr>
          <w:footerReference r:id="rId5" w:type="default"/>
          <w:pgSz w:w="11906" w:h="16838"/>
          <w:pgMar w:top="1417" w:right="1417" w:bottom="1417" w:left="1417" w:header="709" w:footer="709" w:gutter="0"/>
          <w:pgBorders>
            <w:top w:val="none" w:sz="0" w:space="0"/>
            <w:left w:val="none" w:sz="0" w:space="0"/>
            <w:bottom w:val="none" w:sz="0" w:space="0"/>
            <w:right w:val="none" w:sz="0" w:space="0"/>
          </w:pgBorders>
          <w:pgNumType w:start="1"/>
          <w:cols w:space="720" w:num="1"/>
          <w:rtlGutter w:val="0"/>
          <w:docGrid w:linePitch="360" w:charSpace="0"/>
        </w:sectPr>
      </w:pPr>
    </w:p>
    <w:p>
      <w:pPr>
        <w:adjustRightInd/>
        <w:snapToGrid/>
        <w:spacing w:after="0" w:line="360" w:lineRule="auto"/>
        <w:jc w:val="center"/>
        <w:rPr>
          <w:rFonts w:ascii="Times New Roman" w:hAnsi="Times New Roman" w:eastAsia="宋体"/>
          <w:color w:val="auto"/>
          <w:sz w:val="21"/>
          <w:szCs w:val="21"/>
        </w:rPr>
      </w:pPr>
      <w:r>
        <w:rPr>
          <w:rFonts w:ascii="Times New Roman" w:hAnsi="Times New Roman" w:eastAsia="宋体"/>
          <w:b/>
          <w:bCs/>
          <w:color w:val="auto"/>
          <w:sz w:val="32"/>
          <w:szCs w:val="32"/>
        </w:rPr>
        <w:t>目录</w:t>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TOC \o "1-1" \h \u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_Toc8430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表一项目基本情况及验收依据</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_Toc8430 \h </w:instrText>
      </w:r>
      <w:r>
        <w:rPr>
          <w:rFonts w:ascii="Times New Roman" w:hAnsi="Times New Roman"/>
          <w:color w:val="auto"/>
          <w:sz w:val="24"/>
          <w:szCs w:val="24"/>
        </w:rPr>
        <w:fldChar w:fldCharType="separate"/>
      </w:r>
      <w:r>
        <w:rPr>
          <w:rFonts w:ascii="Times New Roman" w:hAnsi="Times New Roman"/>
          <w:color w:val="auto"/>
          <w:sz w:val="24"/>
          <w:szCs w:val="24"/>
        </w:rPr>
        <w:t>1</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_Toc18950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表二项目工程概况</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_Toc18950 \h </w:instrText>
      </w:r>
      <w:r>
        <w:rPr>
          <w:rFonts w:ascii="Times New Roman" w:hAnsi="Times New Roman"/>
          <w:color w:val="auto"/>
          <w:sz w:val="24"/>
          <w:szCs w:val="24"/>
        </w:rPr>
        <w:fldChar w:fldCharType="separate"/>
      </w:r>
      <w:r>
        <w:rPr>
          <w:rFonts w:ascii="Times New Roman" w:hAnsi="Times New Roman"/>
          <w:color w:val="auto"/>
          <w:sz w:val="24"/>
          <w:szCs w:val="24"/>
        </w:rPr>
        <w:t>5</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_Toc9682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表三主要污染物排放</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_Toc9682 \h </w:instrText>
      </w:r>
      <w:r>
        <w:rPr>
          <w:rFonts w:ascii="Times New Roman" w:hAnsi="Times New Roman"/>
          <w:color w:val="auto"/>
          <w:sz w:val="24"/>
          <w:szCs w:val="24"/>
        </w:rPr>
        <w:fldChar w:fldCharType="separate"/>
      </w:r>
      <w:r>
        <w:rPr>
          <w:rFonts w:ascii="Times New Roman" w:hAnsi="Times New Roman"/>
          <w:color w:val="auto"/>
          <w:sz w:val="24"/>
          <w:szCs w:val="24"/>
        </w:rPr>
        <w:t>22</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_Toc22037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表四环境影响评价回顾</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_Toc22037 \h </w:instrText>
      </w:r>
      <w:r>
        <w:rPr>
          <w:rFonts w:ascii="Times New Roman" w:hAnsi="Times New Roman"/>
          <w:color w:val="auto"/>
          <w:sz w:val="24"/>
          <w:szCs w:val="24"/>
        </w:rPr>
        <w:fldChar w:fldCharType="separate"/>
      </w:r>
      <w:r>
        <w:rPr>
          <w:rFonts w:ascii="Times New Roman" w:hAnsi="Times New Roman"/>
          <w:color w:val="auto"/>
          <w:sz w:val="24"/>
          <w:szCs w:val="24"/>
        </w:rPr>
        <w:t>29</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_Toc21445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表五验收监测质量保证及质量控制</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_Toc21445 \h </w:instrText>
      </w:r>
      <w:r>
        <w:rPr>
          <w:rFonts w:ascii="Times New Roman" w:hAnsi="Times New Roman"/>
          <w:color w:val="auto"/>
          <w:sz w:val="24"/>
          <w:szCs w:val="24"/>
        </w:rPr>
        <w:fldChar w:fldCharType="separate"/>
      </w:r>
      <w:r>
        <w:rPr>
          <w:rFonts w:ascii="Times New Roman" w:hAnsi="Times New Roman"/>
          <w:color w:val="auto"/>
          <w:sz w:val="24"/>
          <w:szCs w:val="24"/>
        </w:rPr>
        <w:t>35</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_Toc25338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表六验收监测内容</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_Toc25338 \h </w:instrText>
      </w:r>
      <w:r>
        <w:rPr>
          <w:rFonts w:ascii="Times New Roman" w:hAnsi="Times New Roman"/>
          <w:color w:val="auto"/>
          <w:sz w:val="24"/>
          <w:szCs w:val="24"/>
        </w:rPr>
        <w:fldChar w:fldCharType="separate"/>
      </w:r>
      <w:r>
        <w:rPr>
          <w:rFonts w:ascii="Times New Roman" w:hAnsi="Times New Roman"/>
          <w:color w:val="auto"/>
          <w:sz w:val="24"/>
          <w:szCs w:val="24"/>
        </w:rPr>
        <w:t>38</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_Toc16766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表七验收监测结果</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_Toc16766 \h </w:instrText>
      </w:r>
      <w:r>
        <w:rPr>
          <w:rFonts w:ascii="Times New Roman" w:hAnsi="Times New Roman"/>
          <w:color w:val="auto"/>
          <w:sz w:val="24"/>
          <w:szCs w:val="24"/>
        </w:rPr>
        <w:fldChar w:fldCharType="separate"/>
      </w:r>
      <w:r>
        <w:rPr>
          <w:rFonts w:ascii="Times New Roman" w:hAnsi="Times New Roman"/>
          <w:color w:val="auto"/>
          <w:sz w:val="24"/>
          <w:szCs w:val="24"/>
        </w:rPr>
        <w:t>40</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pStyle w:val="9"/>
        <w:tabs>
          <w:tab w:val="right" w:leader="dot" w:pos="8789"/>
        </w:tabs>
        <w:rPr>
          <w:rFonts w:ascii="Times New Roman" w:hAnsi="Times New Roman"/>
          <w:color w:val="auto"/>
          <w:sz w:val="24"/>
          <w:szCs w:val="24"/>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HYPERLINK \l _Toc25887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表八验收监测结论</w:t>
      </w:r>
      <w:r>
        <w:rPr>
          <w:rFonts w:ascii="Times New Roman" w:hAnsi="Times New Roman"/>
          <w:color w:val="auto"/>
          <w:sz w:val="24"/>
          <w:szCs w:val="24"/>
        </w:rPr>
        <w:tab/>
      </w:r>
      <w:r>
        <w:rPr>
          <w:rFonts w:ascii="Times New Roman" w:hAnsi="Times New Roman"/>
          <w:color w:val="auto"/>
          <w:sz w:val="24"/>
          <w:szCs w:val="24"/>
        </w:rPr>
        <w:fldChar w:fldCharType="begin"/>
      </w:r>
      <w:r>
        <w:rPr>
          <w:rFonts w:ascii="Times New Roman" w:hAnsi="Times New Roman"/>
          <w:color w:val="auto"/>
          <w:sz w:val="24"/>
          <w:szCs w:val="24"/>
        </w:rPr>
        <w:instrText xml:space="preserve"> PAGEREF _Toc25887 \h </w:instrText>
      </w:r>
      <w:r>
        <w:rPr>
          <w:rFonts w:ascii="Times New Roman" w:hAnsi="Times New Roman"/>
          <w:color w:val="auto"/>
          <w:sz w:val="24"/>
          <w:szCs w:val="24"/>
        </w:rPr>
        <w:fldChar w:fldCharType="separate"/>
      </w:r>
      <w:r>
        <w:rPr>
          <w:rFonts w:ascii="Times New Roman" w:hAnsi="Times New Roman"/>
          <w:color w:val="auto"/>
          <w:sz w:val="24"/>
          <w:szCs w:val="24"/>
        </w:rPr>
        <w:t>51</w:t>
      </w:r>
      <w:r>
        <w:rPr>
          <w:rFonts w:ascii="Times New Roman" w:hAnsi="Times New Roman"/>
          <w:color w:val="auto"/>
          <w:sz w:val="24"/>
          <w:szCs w:val="24"/>
        </w:rPr>
        <w:fldChar w:fldCharType="end"/>
      </w:r>
      <w:r>
        <w:rPr>
          <w:rFonts w:ascii="Times New Roman" w:hAnsi="Times New Roman" w:eastAsia="宋体"/>
          <w:color w:val="auto"/>
          <w:sz w:val="24"/>
          <w:szCs w:val="24"/>
        </w:rPr>
        <w:fldChar w:fldCharType="end"/>
      </w:r>
    </w:p>
    <w:p>
      <w:pPr>
        <w:adjustRightInd/>
        <w:snapToGrid/>
        <w:spacing w:after="0" w:line="360" w:lineRule="auto"/>
        <w:jc w:val="center"/>
        <w:rPr>
          <w:rFonts w:ascii="Times New Roman" w:hAnsi="Times New Roman" w:eastAsia="宋体"/>
          <w:color w:val="auto"/>
          <w:szCs w:val="21"/>
        </w:rPr>
      </w:pPr>
      <w:r>
        <w:rPr>
          <w:rFonts w:ascii="Times New Roman" w:hAnsi="Times New Roman" w:eastAsia="宋体"/>
          <w:color w:val="auto"/>
          <w:sz w:val="24"/>
          <w:szCs w:val="24"/>
        </w:rPr>
        <w:fldChar w:fldCharType="end"/>
      </w:r>
    </w:p>
    <w:p>
      <w:pPr>
        <w:adjustRightInd/>
        <w:snapToGrid/>
        <w:spacing w:after="0" w:line="336" w:lineRule="auto"/>
        <w:rPr>
          <w:rFonts w:hint="eastAsia" w:ascii="Times New Roman" w:hAnsi="Times New Roman" w:eastAsia="宋体"/>
          <w:b/>
          <w:bCs/>
          <w:color w:val="auto"/>
          <w:kern w:val="2"/>
          <w:sz w:val="24"/>
          <w:szCs w:val="24"/>
        </w:rPr>
      </w:pPr>
      <w:r>
        <w:rPr>
          <w:rFonts w:ascii="Times New Roman" w:hAnsi="Times New Roman" w:eastAsia="宋体"/>
          <w:b/>
          <w:bCs/>
          <w:color w:val="auto"/>
          <w:kern w:val="2"/>
          <w:sz w:val="24"/>
          <w:szCs w:val="24"/>
        </w:rPr>
        <w:t>附</w:t>
      </w:r>
      <w:r>
        <w:rPr>
          <w:rFonts w:hint="eastAsia" w:ascii="Times New Roman" w:hAnsi="Times New Roman" w:eastAsia="宋体"/>
          <w:b/>
          <w:bCs/>
          <w:color w:val="auto"/>
          <w:kern w:val="2"/>
          <w:sz w:val="24"/>
          <w:szCs w:val="24"/>
        </w:rPr>
        <w:t>表</w:t>
      </w:r>
    </w:p>
    <w:p>
      <w:pPr>
        <w:widowControl w:val="0"/>
        <w:adjustRightInd/>
        <w:snapToGrid/>
        <w:spacing w:after="0" w:line="336" w:lineRule="auto"/>
        <w:ind w:firstLine="480" w:firstLineChars="200"/>
        <w:jc w:val="both"/>
        <w:rPr>
          <w:rFonts w:ascii="Times New Roman" w:hAnsi="Times New Roman" w:eastAsia="宋体"/>
          <w:bCs/>
          <w:color w:val="auto"/>
          <w:sz w:val="24"/>
        </w:rPr>
      </w:pPr>
      <w:r>
        <w:rPr>
          <w:rFonts w:ascii="Times New Roman" w:hAnsi="Times New Roman" w:eastAsia="宋体"/>
          <w:bCs/>
          <w:color w:val="auto"/>
          <w:sz w:val="24"/>
        </w:rPr>
        <w:t>附</w:t>
      </w:r>
      <w:r>
        <w:rPr>
          <w:rFonts w:hint="eastAsia" w:ascii="Times New Roman" w:hAnsi="Times New Roman" w:eastAsia="宋体"/>
          <w:bCs/>
          <w:color w:val="auto"/>
          <w:sz w:val="24"/>
        </w:rPr>
        <w:t>表</w:t>
      </w:r>
      <w:r>
        <w:rPr>
          <w:rFonts w:ascii="Times New Roman" w:hAnsi="Times New Roman" w:eastAsia="宋体"/>
          <w:bCs/>
          <w:color w:val="auto"/>
          <w:sz w:val="24"/>
        </w:rPr>
        <w:t>1：</w:t>
      </w:r>
      <w:r>
        <w:rPr>
          <w:rFonts w:hint="eastAsia" w:ascii="Times New Roman" w:hAnsi="Times New Roman" w:eastAsia="宋体"/>
          <w:bCs/>
          <w:color w:val="auto"/>
          <w:sz w:val="24"/>
          <w:lang w:eastAsia="zh-CN"/>
        </w:rPr>
        <w:t>“</w:t>
      </w:r>
      <w:r>
        <w:rPr>
          <w:rFonts w:ascii="Times New Roman" w:hAnsi="Times New Roman" w:eastAsia="宋体"/>
          <w:bCs/>
          <w:color w:val="auto"/>
          <w:sz w:val="24"/>
        </w:rPr>
        <w:t>三同时</w:t>
      </w:r>
      <w:r>
        <w:rPr>
          <w:rFonts w:hint="eastAsia" w:ascii="Times New Roman" w:hAnsi="Times New Roman" w:eastAsia="宋体"/>
          <w:bCs/>
          <w:color w:val="auto"/>
          <w:sz w:val="24"/>
          <w:lang w:eastAsia="zh-CN"/>
        </w:rPr>
        <w:t>”</w:t>
      </w:r>
      <w:r>
        <w:rPr>
          <w:rFonts w:ascii="Times New Roman" w:hAnsi="Times New Roman" w:eastAsia="宋体"/>
          <w:bCs/>
          <w:color w:val="auto"/>
          <w:sz w:val="24"/>
        </w:rPr>
        <w:t>验收登记表</w:t>
      </w:r>
    </w:p>
    <w:p>
      <w:pPr>
        <w:adjustRightInd/>
        <w:snapToGrid/>
        <w:spacing w:after="0" w:line="336" w:lineRule="auto"/>
        <w:rPr>
          <w:rFonts w:ascii="Times New Roman" w:hAnsi="Times New Roman" w:eastAsia="宋体"/>
          <w:b/>
          <w:bCs/>
          <w:color w:val="auto"/>
          <w:kern w:val="2"/>
          <w:sz w:val="24"/>
          <w:szCs w:val="24"/>
        </w:rPr>
      </w:pPr>
    </w:p>
    <w:p>
      <w:pPr>
        <w:adjustRightInd/>
        <w:snapToGrid/>
        <w:spacing w:after="0" w:line="336" w:lineRule="auto"/>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附图</w:t>
      </w:r>
    </w:p>
    <w:p>
      <w:pPr>
        <w:widowControl w:val="0"/>
        <w:adjustRightInd/>
        <w:snapToGrid/>
        <w:spacing w:after="0" w:line="336" w:lineRule="auto"/>
        <w:ind w:firstLine="480" w:firstLineChars="200"/>
        <w:jc w:val="both"/>
        <w:rPr>
          <w:rFonts w:ascii="Times New Roman" w:hAnsi="Times New Roman" w:eastAsia="宋体"/>
          <w:bCs/>
          <w:color w:val="auto"/>
          <w:sz w:val="24"/>
        </w:rPr>
      </w:pPr>
      <w:r>
        <w:rPr>
          <w:rFonts w:ascii="Times New Roman" w:hAnsi="Times New Roman" w:eastAsia="宋体"/>
          <w:bCs/>
          <w:color w:val="auto"/>
          <w:sz w:val="24"/>
        </w:rPr>
        <w:t>附图1：项目地理位置示意图</w:t>
      </w:r>
    </w:p>
    <w:p>
      <w:pPr>
        <w:widowControl w:val="0"/>
        <w:adjustRightInd/>
        <w:snapToGrid/>
        <w:spacing w:after="0" w:line="336" w:lineRule="auto"/>
        <w:ind w:firstLine="480" w:firstLineChars="200"/>
        <w:jc w:val="both"/>
        <w:rPr>
          <w:rFonts w:ascii="Times New Roman" w:hAnsi="Times New Roman" w:eastAsia="宋体"/>
          <w:bCs/>
          <w:color w:val="auto"/>
          <w:sz w:val="24"/>
        </w:rPr>
      </w:pPr>
      <w:r>
        <w:rPr>
          <w:rFonts w:ascii="Times New Roman" w:hAnsi="Times New Roman" w:eastAsia="宋体"/>
          <w:bCs/>
          <w:color w:val="auto"/>
          <w:sz w:val="24"/>
        </w:rPr>
        <w:t>附图2：项目周边环境示意图</w:t>
      </w:r>
    </w:p>
    <w:p>
      <w:pPr>
        <w:widowControl w:val="0"/>
        <w:adjustRightInd/>
        <w:snapToGrid/>
        <w:spacing w:after="0" w:line="336" w:lineRule="auto"/>
        <w:ind w:firstLine="480" w:firstLineChars="200"/>
        <w:jc w:val="both"/>
        <w:rPr>
          <w:rFonts w:ascii="Times New Roman" w:hAnsi="Times New Roman" w:eastAsia="宋体"/>
          <w:bCs/>
          <w:color w:val="auto"/>
          <w:sz w:val="24"/>
        </w:rPr>
      </w:pPr>
      <w:r>
        <w:rPr>
          <w:rFonts w:ascii="Times New Roman" w:hAnsi="Times New Roman" w:eastAsia="宋体"/>
          <w:bCs/>
          <w:color w:val="auto"/>
          <w:sz w:val="24"/>
        </w:rPr>
        <w:t>附图3：厂区平面布置示意图</w:t>
      </w:r>
    </w:p>
    <w:p>
      <w:pPr>
        <w:widowControl w:val="0"/>
        <w:adjustRightInd/>
        <w:snapToGrid/>
        <w:spacing w:after="0" w:line="336" w:lineRule="auto"/>
        <w:ind w:firstLine="480" w:firstLineChars="200"/>
        <w:jc w:val="both"/>
        <w:rPr>
          <w:rFonts w:ascii="Times New Roman" w:hAnsi="Times New Roman" w:eastAsia="宋体"/>
          <w:bCs/>
          <w:color w:val="auto"/>
          <w:sz w:val="24"/>
        </w:rPr>
      </w:pPr>
    </w:p>
    <w:p>
      <w:pPr>
        <w:adjustRightInd/>
        <w:snapToGrid/>
        <w:spacing w:after="0" w:line="336" w:lineRule="auto"/>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附件</w:t>
      </w:r>
    </w:p>
    <w:p>
      <w:pPr>
        <w:widowControl w:val="0"/>
        <w:adjustRightInd/>
        <w:snapToGrid/>
        <w:spacing w:after="0" w:line="336" w:lineRule="auto"/>
        <w:ind w:firstLine="480" w:firstLineChars="200"/>
        <w:jc w:val="both"/>
        <w:rPr>
          <w:rFonts w:hint="default" w:ascii="Times New Roman" w:hAnsi="Times New Roman" w:eastAsia="宋体"/>
          <w:bCs/>
          <w:color w:val="auto"/>
          <w:kern w:val="2"/>
          <w:sz w:val="24"/>
          <w:szCs w:val="24"/>
          <w:lang w:val="en-US" w:eastAsia="zh-CN"/>
        </w:rPr>
      </w:pPr>
      <w:r>
        <w:rPr>
          <w:rFonts w:ascii="Times New Roman" w:hAnsi="Times New Roman" w:eastAsia="宋体"/>
          <w:bCs/>
          <w:color w:val="auto"/>
          <w:kern w:val="2"/>
          <w:sz w:val="24"/>
          <w:szCs w:val="24"/>
        </w:rPr>
        <w:t>附件1：</w:t>
      </w:r>
      <w:r>
        <w:rPr>
          <w:rFonts w:hint="eastAsia" w:ascii="Times New Roman" w:hAnsi="Times New Roman" w:eastAsia="宋体"/>
          <w:bCs/>
          <w:color w:val="auto"/>
          <w:kern w:val="2"/>
          <w:sz w:val="24"/>
          <w:szCs w:val="24"/>
          <w:lang w:val="en-US" w:eastAsia="zh-CN"/>
        </w:rPr>
        <w:t>原有项目环评批复及验收意见</w:t>
      </w:r>
    </w:p>
    <w:p>
      <w:pPr>
        <w:widowControl w:val="0"/>
        <w:adjustRightInd/>
        <w:snapToGrid/>
        <w:spacing w:after="0" w:line="336" w:lineRule="auto"/>
        <w:ind w:firstLine="480" w:firstLineChars="200"/>
        <w:jc w:val="both"/>
        <w:rPr>
          <w:rFonts w:hint="default" w:ascii="Times New Roman" w:hAnsi="Times New Roman" w:eastAsia="宋体"/>
          <w:bCs/>
          <w:color w:val="auto"/>
          <w:kern w:val="2"/>
          <w:sz w:val="24"/>
          <w:szCs w:val="24"/>
          <w:lang w:val="en-US" w:eastAsia="zh-CN"/>
        </w:rPr>
      </w:pPr>
      <w:r>
        <w:rPr>
          <w:rFonts w:ascii="Times New Roman" w:hAnsi="Times New Roman" w:eastAsia="宋体"/>
          <w:bCs/>
          <w:color w:val="auto"/>
          <w:kern w:val="2"/>
          <w:sz w:val="24"/>
          <w:szCs w:val="24"/>
        </w:rPr>
        <w:t>附件2：</w:t>
      </w:r>
      <w:r>
        <w:rPr>
          <w:rFonts w:hint="eastAsia" w:ascii="Times New Roman" w:hAnsi="Times New Roman" w:eastAsia="宋体"/>
          <w:bCs/>
          <w:color w:val="auto"/>
          <w:kern w:val="2"/>
          <w:sz w:val="24"/>
          <w:szCs w:val="24"/>
          <w:lang w:val="en-US" w:eastAsia="zh-CN"/>
        </w:rPr>
        <w:t>环评</w:t>
      </w:r>
      <w:r>
        <w:rPr>
          <w:rFonts w:ascii="Times New Roman" w:hAnsi="Times New Roman" w:eastAsia="宋体"/>
          <w:bCs/>
          <w:color w:val="auto"/>
          <w:kern w:val="2"/>
          <w:sz w:val="24"/>
          <w:szCs w:val="24"/>
        </w:rPr>
        <w:t>审查意见</w:t>
      </w:r>
    </w:p>
    <w:p>
      <w:pPr>
        <w:widowControl w:val="0"/>
        <w:adjustRightInd/>
        <w:snapToGrid/>
        <w:spacing w:after="0" w:line="336" w:lineRule="auto"/>
        <w:ind w:firstLine="480" w:firstLineChars="200"/>
        <w:jc w:val="both"/>
        <w:rPr>
          <w:rFonts w:hint="default" w:ascii="Times New Roman" w:hAnsi="Times New Roman" w:eastAsia="宋体"/>
          <w:bCs/>
          <w:color w:val="auto"/>
          <w:kern w:val="2"/>
          <w:sz w:val="24"/>
          <w:szCs w:val="24"/>
          <w:lang w:val="en-US" w:eastAsia="zh-CN"/>
        </w:rPr>
      </w:pPr>
      <w:r>
        <w:rPr>
          <w:rFonts w:ascii="Times New Roman" w:hAnsi="Times New Roman" w:eastAsia="宋体"/>
          <w:bCs/>
          <w:color w:val="auto"/>
          <w:kern w:val="2"/>
          <w:sz w:val="24"/>
          <w:szCs w:val="24"/>
        </w:rPr>
        <w:t>附件</w:t>
      </w:r>
      <w:r>
        <w:rPr>
          <w:rFonts w:hint="eastAsia" w:ascii="Times New Roman" w:hAnsi="Times New Roman" w:eastAsia="宋体"/>
          <w:bCs/>
          <w:color w:val="auto"/>
          <w:kern w:val="2"/>
          <w:sz w:val="24"/>
          <w:szCs w:val="24"/>
          <w:lang w:val="en-US" w:eastAsia="zh-CN"/>
        </w:rPr>
        <w:t>3</w:t>
      </w:r>
      <w:r>
        <w:rPr>
          <w:rFonts w:ascii="Times New Roman" w:hAnsi="Times New Roman" w:eastAsia="宋体"/>
          <w:bCs/>
          <w:color w:val="auto"/>
          <w:kern w:val="2"/>
          <w:sz w:val="24"/>
          <w:szCs w:val="24"/>
        </w:rPr>
        <w:t>：</w:t>
      </w:r>
      <w:r>
        <w:rPr>
          <w:rFonts w:hint="eastAsia" w:ascii="Times New Roman" w:hAnsi="Times New Roman" w:eastAsia="宋体"/>
          <w:bCs/>
          <w:color w:val="auto"/>
          <w:kern w:val="2"/>
          <w:sz w:val="24"/>
          <w:szCs w:val="24"/>
          <w:lang w:val="en-US" w:eastAsia="zh-CN"/>
        </w:rPr>
        <w:t>排水许可证</w:t>
      </w:r>
    </w:p>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eastAsia="zh-CN"/>
        </w:rPr>
      </w:pPr>
      <w:r>
        <w:rPr>
          <w:rFonts w:ascii="Times New Roman" w:hAnsi="Times New Roman" w:eastAsia="宋体"/>
          <w:bCs/>
          <w:color w:val="auto"/>
          <w:kern w:val="2"/>
          <w:sz w:val="24"/>
          <w:szCs w:val="24"/>
        </w:rPr>
        <w:t>附件</w:t>
      </w:r>
      <w:r>
        <w:rPr>
          <w:rFonts w:hint="eastAsia" w:ascii="Times New Roman" w:hAnsi="Times New Roman" w:eastAsia="宋体"/>
          <w:bCs/>
          <w:color w:val="auto"/>
          <w:kern w:val="2"/>
          <w:sz w:val="24"/>
          <w:szCs w:val="24"/>
          <w:lang w:val="en-US" w:eastAsia="zh-CN"/>
        </w:rPr>
        <w:t>4</w:t>
      </w:r>
      <w:r>
        <w:rPr>
          <w:rFonts w:ascii="Times New Roman" w:hAnsi="Times New Roman" w:eastAsia="宋体"/>
          <w:bCs/>
          <w:color w:val="auto"/>
          <w:kern w:val="2"/>
          <w:sz w:val="24"/>
          <w:szCs w:val="24"/>
        </w:rPr>
        <w:t>：</w:t>
      </w:r>
      <w:r>
        <w:rPr>
          <w:rFonts w:hint="eastAsia" w:ascii="Times New Roman" w:hAnsi="Times New Roman" w:eastAsia="宋体"/>
          <w:bCs/>
          <w:color w:val="auto"/>
          <w:kern w:val="2"/>
          <w:sz w:val="24"/>
          <w:szCs w:val="24"/>
          <w:lang w:val="en-US" w:eastAsia="zh-CN"/>
        </w:rPr>
        <w:t>一般</w:t>
      </w:r>
      <w:r>
        <w:rPr>
          <w:rFonts w:ascii="Times New Roman" w:hAnsi="Times New Roman" w:eastAsia="宋体"/>
          <w:bCs/>
          <w:color w:val="auto"/>
          <w:kern w:val="2"/>
          <w:sz w:val="24"/>
          <w:szCs w:val="24"/>
        </w:rPr>
        <w:t>工业</w:t>
      </w:r>
      <w:r>
        <w:rPr>
          <w:rFonts w:hint="eastAsia" w:ascii="Times New Roman" w:hAnsi="Times New Roman" w:eastAsia="宋体"/>
          <w:bCs/>
          <w:color w:val="auto"/>
          <w:kern w:val="2"/>
          <w:sz w:val="24"/>
          <w:szCs w:val="24"/>
          <w:lang w:val="en-US" w:eastAsia="zh-CN"/>
        </w:rPr>
        <w:t>固体</w:t>
      </w:r>
      <w:r>
        <w:rPr>
          <w:rFonts w:ascii="Times New Roman" w:hAnsi="Times New Roman" w:eastAsia="宋体"/>
          <w:bCs/>
          <w:color w:val="auto"/>
          <w:kern w:val="2"/>
          <w:sz w:val="24"/>
          <w:szCs w:val="24"/>
        </w:rPr>
        <w:t>废物</w:t>
      </w:r>
      <w:r>
        <w:rPr>
          <w:rFonts w:hint="eastAsia" w:ascii="Times New Roman" w:hAnsi="Times New Roman" w:eastAsia="宋体"/>
          <w:bCs/>
          <w:color w:val="auto"/>
          <w:kern w:val="2"/>
          <w:sz w:val="24"/>
          <w:szCs w:val="24"/>
          <w:lang w:val="en-US" w:eastAsia="zh-CN"/>
        </w:rPr>
        <w:t>收运协议</w:t>
      </w:r>
    </w:p>
    <w:p>
      <w:pPr>
        <w:widowControl w:val="0"/>
        <w:adjustRightInd/>
        <w:snapToGrid/>
        <w:spacing w:after="0" w:line="336" w:lineRule="auto"/>
        <w:ind w:firstLine="480" w:firstLineChars="200"/>
        <w:jc w:val="both"/>
        <w:rPr>
          <w:rFonts w:hint="default" w:ascii="Times New Roman" w:hAnsi="Times New Roman" w:eastAsia="宋体"/>
          <w:bCs/>
          <w:color w:val="auto"/>
          <w:kern w:val="2"/>
          <w:sz w:val="24"/>
          <w:szCs w:val="24"/>
          <w:lang w:val="en-US" w:eastAsia="zh-CN"/>
        </w:rPr>
      </w:pPr>
      <w:r>
        <w:rPr>
          <w:rFonts w:hint="eastAsia" w:ascii="Times New Roman" w:hAnsi="Times New Roman" w:eastAsia="宋体"/>
          <w:bCs/>
          <w:color w:val="auto"/>
          <w:kern w:val="2"/>
          <w:sz w:val="24"/>
          <w:szCs w:val="24"/>
          <w:lang w:val="en-US" w:eastAsia="zh-CN"/>
        </w:rPr>
        <w:t>附件5：危废协议</w:t>
      </w:r>
    </w:p>
    <w:p>
      <w:pPr>
        <w:widowControl w:val="0"/>
        <w:adjustRightInd/>
        <w:snapToGrid/>
        <w:spacing w:after="0" w:line="336" w:lineRule="auto"/>
        <w:ind w:firstLine="480" w:firstLineChars="200"/>
        <w:jc w:val="both"/>
        <w:rPr>
          <w:rFonts w:hint="default" w:ascii="Times New Roman" w:hAnsi="Times New Roman" w:eastAsia="宋体"/>
          <w:bCs/>
          <w:color w:val="auto"/>
          <w:kern w:val="2"/>
          <w:sz w:val="24"/>
          <w:szCs w:val="24"/>
          <w:lang w:val="en-US" w:eastAsia="zh-CN"/>
        </w:rPr>
      </w:pPr>
      <w:r>
        <w:rPr>
          <w:rFonts w:hint="eastAsia" w:ascii="Times New Roman" w:hAnsi="Times New Roman" w:eastAsia="宋体"/>
          <w:bCs/>
          <w:color w:val="auto"/>
          <w:kern w:val="2"/>
          <w:sz w:val="24"/>
          <w:szCs w:val="24"/>
          <w:lang w:val="en-US" w:eastAsia="zh-CN"/>
        </w:rPr>
        <w:t>附件6：应急预案备案表</w:t>
      </w:r>
    </w:p>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eastAsia="zh-CN"/>
        </w:rPr>
      </w:pPr>
      <w:r>
        <w:rPr>
          <w:rFonts w:hint="eastAsia" w:ascii="Times New Roman" w:hAnsi="Times New Roman" w:eastAsia="宋体"/>
          <w:bCs/>
          <w:color w:val="auto"/>
          <w:kern w:val="2"/>
          <w:sz w:val="24"/>
          <w:szCs w:val="24"/>
          <w:lang w:val="en-US" w:eastAsia="zh-CN"/>
        </w:rPr>
        <w:t>附件7：</w:t>
      </w:r>
      <w:r>
        <w:rPr>
          <w:rFonts w:ascii="Times New Roman" w:hAnsi="Times New Roman" w:eastAsia="宋体"/>
          <w:bCs/>
          <w:color w:val="auto"/>
          <w:kern w:val="2"/>
          <w:sz w:val="24"/>
          <w:szCs w:val="24"/>
        </w:rPr>
        <w:t>排污</w:t>
      </w:r>
      <w:r>
        <w:rPr>
          <w:rFonts w:hint="eastAsia" w:ascii="Times New Roman" w:hAnsi="Times New Roman" w:eastAsia="宋体"/>
          <w:bCs/>
          <w:color w:val="auto"/>
          <w:kern w:val="2"/>
          <w:sz w:val="24"/>
          <w:szCs w:val="24"/>
        </w:rPr>
        <w:t>许可</w:t>
      </w:r>
      <w:r>
        <w:rPr>
          <w:rFonts w:hint="eastAsia" w:ascii="Times New Roman" w:hAnsi="Times New Roman" w:eastAsia="宋体"/>
          <w:bCs/>
          <w:color w:val="auto"/>
          <w:kern w:val="2"/>
          <w:sz w:val="24"/>
          <w:szCs w:val="24"/>
          <w:lang w:val="en-US" w:eastAsia="zh-CN"/>
        </w:rPr>
        <w:t>证</w:t>
      </w:r>
    </w:p>
    <w:p>
      <w:pPr>
        <w:widowControl w:val="0"/>
        <w:adjustRightInd/>
        <w:snapToGrid/>
        <w:spacing w:after="0" w:line="336" w:lineRule="auto"/>
        <w:ind w:firstLine="480" w:firstLineChars="200"/>
        <w:jc w:val="both"/>
        <w:rPr>
          <w:rFonts w:ascii="Times New Roman" w:hAnsi="Times New Roman" w:eastAsia="宋体"/>
          <w:bCs/>
          <w:color w:val="auto"/>
          <w:sz w:val="24"/>
        </w:rPr>
      </w:pPr>
      <w:r>
        <w:rPr>
          <w:rFonts w:hint="eastAsia" w:ascii="Times New Roman" w:hAnsi="Times New Roman" w:eastAsia="宋体"/>
          <w:bCs/>
          <w:color w:val="auto"/>
          <w:kern w:val="2"/>
          <w:sz w:val="24"/>
          <w:szCs w:val="24"/>
        </w:rPr>
        <w:t>附件</w:t>
      </w:r>
      <w:r>
        <w:rPr>
          <w:rFonts w:hint="eastAsia" w:ascii="Times New Roman" w:hAnsi="Times New Roman" w:eastAsia="宋体"/>
          <w:bCs/>
          <w:color w:val="auto"/>
          <w:kern w:val="2"/>
          <w:sz w:val="24"/>
          <w:szCs w:val="24"/>
          <w:lang w:val="en-US" w:eastAsia="zh-CN"/>
        </w:rPr>
        <w:t>8</w:t>
      </w:r>
      <w:r>
        <w:rPr>
          <w:rFonts w:hint="eastAsia" w:ascii="Times New Roman" w:hAnsi="Times New Roman" w:eastAsia="宋体"/>
          <w:bCs/>
          <w:color w:val="auto"/>
          <w:kern w:val="2"/>
          <w:sz w:val="24"/>
          <w:szCs w:val="24"/>
        </w:rPr>
        <w:t>：工况证明</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附件</w:t>
      </w:r>
      <w:r>
        <w:rPr>
          <w:rFonts w:hint="eastAsia" w:ascii="Times New Roman" w:hAnsi="Times New Roman" w:eastAsia="宋体"/>
          <w:bCs/>
          <w:color w:val="auto"/>
          <w:kern w:val="2"/>
          <w:sz w:val="24"/>
          <w:szCs w:val="24"/>
          <w:lang w:val="en-US" w:eastAsia="zh-CN"/>
        </w:rPr>
        <w:t>9</w:t>
      </w:r>
      <w:r>
        <w:rPr>
          <w:rFonts w:hint="eastAsia" w:ascii="Times New Roman" w:hAnsi="Times New Roman" w:eastAsia="宋体"/>
          <w:bCs/>
          <w:color w:val="auto"/>
          <w:kern w:val="2"/>
          <w:sz w:val="24"/>
          <w:szCs w:val="24"/>
        </w:rPr>
        <w:t>：建设项目关于竣工、调试日期公示情况</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附件</w:t>
      </w:r>
      <w:r>
        <w:rPr>
          <w:rFonts w:hint="eastAsia" w:ascii="Times New Roman" w:hAnsi="Times New Roman" w:eastAsia="宋体"/>
          <w:bCs/>
          <w:color w:val="auto"/>
          <w:kern w:val="2"/>
          <w:sz w:val="24"/>
          <w:szCs w:val="24"/>
          <w:lang w:val="en-US" w:eastAsia="zh-CN"/>
        </w:rPr>
        <w:t>10</w:t>
      </w:r>
      <w:r>
        <w:rPr>
          <w:rFonts w:ascii="Times New Roman" w:hAnsi="Times New Roman" w:eastAsia="宋体"/>
          <w:bCs/>
          <w:color w:val="auto"/>
          <w:kern w:val="2"/>
          <w:sz w:val="24"/>
          <w:szCs w:val="24"/>
        </w:rPr>
        <w:t>：检测报告</w:t>
      </w:r>
    </w:p>
    <w:p>
      <w:pPr>
        <w:widowControl w:val="0"/>
        <w:adjustRightInd/>
        <w:snapToGrid/>
        <w:spacing w:after="0" w:line="336" w:lineRule="auto"/>
        <w:ind w:firstLine="480" w:firstLineChars="200"/>
        <w:jc w:val="both"/>
        <w:rPr>
          <w:rFonts w:ascii="Times New Roman" w:hAnsi="Times New Roman" w:eastAsia="宋体"/>
          <w:bCs/>
          <w:color w:val="auto"/>
          <w:sz w:val="24"/>
        </w:rPr>
      </w:pPr>
    </w:p>
    <w:p>
      <w:pPr>
        <w:widowControl w:val="0"/>
        <w:adjustRightInd/>
        <w:snapToGrid/>
        <w:spacing w:after="0" w:line="360" w:lineRule="auto"/>
        <w:ind w:left="900" w:hanging="900" w:hangingChars="375"/>
        <w:jc w:val="both"/>
        <w:rPr>
          <w:rFonts w:ascii="Times New Roman" w:hAnsi="Times New Roman" w:eastAsia="宋体"/>
          <w:bCs/>
          <w:color w:val="auto"/>
          <w:kern w:val="2"/>
          <w:sz w:val="24"/>
          <w:szCs w:val="24"/>
        </w:rPr>
      </w:pPr>
    </w:p>
    <w:p>
      <w:pPr>
        <w:widowControl w:val="0"/>
        <w:adjustRightInd/>
        <w:snapToGrid/>
        <w:spacing w:after="0" w:line="360" w:lineRule="auto"/>
        <w:ind w:left="900" w:hanging="900" w:hangingChars="375"/>
        <w:jc w:val="both"/>
        <w:rPr>
          <w:rFonts w:ascii="Times New Roman" w:hAnsi="Times New Roman" w:eastAsia="宋体"/>
          <w:bCs/>
          <w:color w:val="auto"/>
          <w:kern w:val="2"/>
          <w:sz w:val="24"/>
          <w:szCs w:val="24"/>
        </w:rPr>
        <w:sectPr>
          <w:headerReference r:id="rId6" w:type="default"/>
          <w:footerReference r:id="rId7" w:type="default"/>
          <w:pgSz w:w="11906" w:h="16838"/>
          <w:pgMar w:top="1417" w:right="1417" w:bottom="1417" w:left="1417" w:header="709" w:footer="709" w:gutter="0"/>
          <w:pgBorders>
            <w:top w:val="none" w:sz="0" w:space="0"/>
            <w:left w:val="none" w:sz="0" w:space="0"/>
            <w:bottom w:val="none" w:sz="0" w:space="0"/>
            <w:right w:val="none" w:sz="0" w:space="0"/>
          </w:pgBorders>
          <w:pgNumType w:start="1"/>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0" w:name="_Toc21177"/>
      <w:bookmarkStart w:id="1" w:name="_Toc8430"/>
      <w:r>
        <w:rPr>
          <w:rFonts w:ascii="Times New Roman" w:hAnsi="Times New Roman" w:eastAsia="宋体"/>
          <w:color w:val="auto"/>
        </w:rPr>
        <w:t>表一</w:t>
      </w:r>
      <w:bookmarkEnd w:id="0"/>
      <w:r>
        <w:rPr>
          <w:rFonts w:ascii="Times New Roman" w:hAnsi="Times New Roman" w:eastAsia="宋体"/>
          <w:color w:val="auto"/>
        </w:rPr>
        <w:t>项目基本情况及验收依据</w:t>
      </w:r>
      <w:bookmarkEnd w:id="1"/>
    </w:p>
    <w:tbl>
      <w:tblPr>
        <w:tblStyle w:val="11"/>
        <w:tblW w:w="4996" w:type="pct"/>
        <w:jc w:val="center"/>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311"/>
        <w:gridCol w:w="2018"/>
        <w:gridCol w:w="2191"/>
        <w:gridCol w:w="913"/>
        <w:gridCol w:w="861"/>
        <w:gridCol w:w="1074"/>
      </w:tblGrid>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建设项目名称</w:t>
            </w:r>
          </w:p>
        </w:tc>
        <w:tc>
          <w:tcPr>
            <w:tcW w:w="3801" w:type="pct"/>
            <w:gridSpan w:val="5"/>
            <w:noWrap w:val="0"/>
            <w:vAlign w:val="center"/>
          </w:tcPr>
          <w:p>
            <w:pPr>
              <w:adjustRightInd/>
              <w:snapToGrid/>
              <w:spacing w:after="0"/>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年产10万台电机生产线技改项目</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outlineLvl w:val="0"/>
              <w:rPr>
                <w:rFonts w:ascii="Times New Roman" w:hAnsi="Times New Roman" w:eastAsia="宋体"/>
                <w:color w:val="auto"/>
                <w:sz w:val="24"/>
                <w:szCs w:val="24"/>
              </w:rPr>
            </w:pPr>
            <w:bookmarkStart w:id="2" w:name="_Toc28435"/>
            <w:bookmarkStart w:id="3" w:name="_Toc24094"/>
            <w:bookmarkStart w:id="4" w:name="_Toc16752"/>
            <w:bookmarkStart w:id="5" w:name="_Toc22282"/>
            <w:bookmarkStart w:id="6" w:name="_Toc31982"/>
            <w:r>
              <w:rPr>
                <w:rFonts w:ascii="Times New Roman" w:hAnsi="Times New Roman" w:eastAsia="宋体"/>
                <w:color w:val="auto"/>
                <w:sz w:val="24"/>
                <w:szCs w:val="24"/>
              </w:rPr>
              <w:t>建设单位名称</w:t>
            </w:r>
            <w:bookmarkEnd w:id="2"/>
            <w:bookmarkEnd w:id="3"/>
            <w:bookmarkEnd w:id="4"/>
            <w:bookmarkEnd w:id="5"/>
            <w:bookmarkEnd w:id="6"/>
          </w:p>
        </w:tc>
        <w:tc>
          <w:tcPr>
            <w:tcW w:w="3801" w:type="pct"/>
            <w:gridSpan w:val="5"/>
            <w:noWrap w:val="0"/>
            <w:vAlign w:val="center"/>
          </w:tcPr>
          <w:p>
            <w:pPr>
              <w:adjustRightInd/>
              <w:snapToGrid/>
              <w:spacing w:after="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宁波莱堡制冷设备有限公司</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建设项目性质</w:t>
            </w:r>
          </w:p>
        </w:tc>
        <w:tc>
          <w:tcPr>
            <w:tcW w:w="3801" w:type="pct"/>
            <w:gridSpan w:val="5"/>
            <w:noWrap w:val="0"/>
            <w:vAlign w:val="center"/>
          </w:tcPr>
          <w:p>
            <w:pPr>
              <w:adjustRightInd/>
              <w:snapToGrid/>
              <w:spacing w:after="0"/>
              <w:jc w:val="center"/>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val="en-US" w:eastAsia="zh-CN"/>
              </w:rPr>
              <w:t>技改</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建设地点</w:t>
            </w:r>
          </w:p>
        </w:tc>
        <w:tc>
          <w:tcPr>
            <w:tcW w:w="3801" w:type="pct"/>
            <w:gridSpan w:val="5"/>
            <w:noWrap w:val="0"/>
            <w:vAlign w:val="center"/>
          </w:tcPr>
          <w:p>
            <w:pPr>
              <w:adjustRightInd/>
              <w:snapToGrid/>
              <w:spacing w:after="0"/>
              <w:jc w:val="center"/>
              <w:rPr>
                <w:rFonts w:ascii="Times New Roman" w:hAnsi="Times New Roman" w:eastAsia="宋体"/>
                <w:color w:val="auto"/>
                <w:sz w:val="24"/>
                <w:szCs w:val="24"/>
              </w:rPr>
            </w:pPr>
            <w:r>
              <w:rPr>
                <w:rFonts w:hint="default" w:ascii="宋体" w:hAnsi="宋体" w:eastAsia="宋体" w:cs="宋体"/>
                <w:sz w:val="24"/>
                <w:szCs w:val="24"/>
              </w:rPr>
              <w:t>宁波市海曙区洞桥镇工业园区</w:t>
            </w:r>
            <w:r>
              <w:rPr>
                <w:rFonts w:hint="eastAsia" w:ascii="Times New Roman" w:hAnsi="Times New Roman" w:eastAsia="宋体" w:cs="Times New Roman"/>
                <w:color w:val="auto"/>
                <w:sz w:val="24"/>
                <w:szCs w:val="24"/>
              </w:rPr>
              <w:t>洞北路22号</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主要产品名称</w:t>
            </w:r>
          </w:p>
        </w:tc>
        <w:tc>
          <w:tcPr>
            <w:tcW w:w="3801" w:type="pct"/>
            <w:gridSpan w:val="5"/>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电机</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设计生产能力</w:t>
            </w:r>
          </w:p>
        </w:tc>
        <w:tc>
          <w:tcPr>
            <w:tcW w:w="3801" w:type="pct"/>
            <w:gridSpan w:val="5"/>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年产</w:t>
            </w:r>
            <w:r>
              <w:rPr>
                <w:rFonts w:hint="eastAsia" w:ascii="Times New Roman" w:hAnsi="Times New Roman" w:eastAsia="宋体"/>
                <w:color w:val="auto"/>
                <w:sz w:val="24"/>
                <w:szCs w:val="24"/>
                <w:lang w:eastAsia="zh-CN"/>
              </w:rPr>
              <w:t>10万台电机</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实际生产能力</w:t>
            </w:r>
          </w:p>
        </w:tc>
        <w:tc>
          <w:tcPr>
            <w:tcW w:w="3801" w:type="pct"/>
            <w:gridSpan w:val="5"/>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年产</w:t>
            </w:r>
            <w:r>
              <w:rPr>
                <w:rFonts w:hint="eastAsia" w:ascii="Times New Roman" w:hAnsi="Times New Roman" w:eastAsia="宋体"/>
                <w:color w:val="auto"/>
                <w:sz w:val="24"/>
                <w:szCs w:val="24"/>
                <w:lang w:eastAsia="zh-CN"/>
              </w:rPr>
              <w:t>10万台电机</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建设项目环评时间</w:t>
            </w:r>
          </w:p>
        </w:tc>
        <w:tc>
          <w:tcPr>
            <w:tcW w:w="1087"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12</w:t>
            </w:r>
            <w:r>
              <w:rPr>
                <w:rFonts w:ascii="Times New Roman" w:hAnsi="Times New Roman" w:eastAsia="宋体"/>
                <w:color w:val="auto"/>
                <w:sz w:val="24"/>
                <w:szCs w:val="24"/>
              </w:rPr>
              <w:t>月</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开工建设时间</w:t>
            </w:r>
          </w:p>
        </w:tc>
        <w:tc>
          <w:tcPr>
            <w:tcW w:w="1533" w:type="pct"/>
            <w:gridSpan w:val="3"/>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月</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调试时间</w:t>
            </w:r>
          </w:p>
        </w:tc>
        <w:tc>
          <w:tcPr>
            <w:tcW w:w="1087" w:type="pct"/>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-2024年1月</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验收现场监测时间</w:t>
            </w:r>
          </w:p>
        </w:tc>
        <w:tc>
          <w:tcPr>
            <w:tcW w:w="1533" w:type="pct"/>
            <w:gridSpan w:val="3"/>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ascii="Times New Roman" w:hAnsi="Times New Roman" w:eastAsia="宋体"/>
                <w:color w:val="auto"/>
                <w:kern w:val="2"/>
                <w:sz w:val="24"/>
                <w:szCs w:val="24"/>
              </w:rPr>
              <w:t>202</w:t>
            </w:r>
            <w:r>
              <w:rPr>
                <w:rFonts w:hint="eastAsia" w:ascii="Times New Roman" w:hAnsi="Times New Roman" w:eastAsia="宋体"/>
                <w:color w:val="auto"/>
                <w:kern w:val="2"/>
                <w:sz w:val="24"/>
                <w:szCs w:val="24"/>
                <w:lang w:val="en-US" w:eastAsia="zh-CN"/>
              </w:rPr>
              <w:t>3</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9</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2</w:t>
            </w:r>
            <w:r>
              <w:rPr>
                <w:rFonts w:hint="eastAsia" w:ascii="Times New Roman" w:hAnsi="Times New Roman" w:eastAsia="宋体"/>
                <w:color w:val="auto"/>
                <w:kern w:val="2"/>
                <w:sz w:val="24"/>
                <w:szCs w:val="24"/>
              </w:rPr>
              <w:t>7</w:t>
            </w:r>
            <w:r>
              <w:rPr>
                <w:rFonts w:ascii="Times New Roman" w:hAnsi="Times New Roman" w:eastAsia="宋体"/>
                <w:color w:val="auto"/>
                <w:kern w:val="2"/>
                <w:sz w:val="24"/>
                <w:szCs w:val="24"/>
              </w:rPr>
              <w:t>-202</w:t>
            </w:r>
            <w:r>
              <w:rPr>
                <w:rFonts w:hint="eastAsia" w:ascii="Times New Roman" w:hAnsi="Times New Roman" w:eastAsia="宋体"/>
                <w:color w:val="auto"/>
                <w:kern w:val="2"/>
                <w:sz w:val="24"/>
                <w:szCs w:val="24"/>
                <w:lang w:val="en-US" w:eastAsia="zh-CN"/>
              </w:rPr>
              <w:t>3</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9</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2</w:t>
            </w:r>
            <w:r>
              <w:rPr>
                <w:rFonts w:hint="eastAsia" w:ascii="Times New Roman" w:hAnsi="Times New Roman" w:eastAsia="宋体"/>
                <w:color w:val="auto"/>
                <w:kern w:val="2"/>
                <w:sz w:val="24"/>
                <w:szCs w:val="24"/>
              </w:rPr>
              <w:t>8</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2024.1.4-2024.1.5</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审批部门</w:t>
            </w:r>
          </w:p>
        </w:tc>
        <w:tc>
          <w:tcPr>
            <w:tcW w:w="1087"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宁波市生态环境局</w:t>
            </w:r>
            <w:r>
              <w:rPr>
                <w:rFonts w:hint="eastAsia" w:ascii="Times New Roman" w:hAnsi="Times New Roman" w:eastAsia="宋体"/>
                <w:color w:val="auto"/>
                <w:sz w:val="24"/>
                <w:szCs w:val="24"/>
                <w:lang w:val="en-US" w:eastAsia="zh-CN"/>
              </w:rPr>
              <w:t>海曙</w:t>
            </w:r>
            <w:r>
              <w:rPr>
                <w:rFonts w:ascii="Times New Roman" w:hAnsi="Times New Roman" w:eastAsia="宋体"/>
                <w:color w:val="auto"/>
                <w:sz w:val="24"/>
                <w:szCs w:val="24"/>
              </w:rPr>
              <w:t>分局</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编制单位</w:t>
            </w:r>
          </w:p>
        </w:tc>
        <w:tc>
          <w:tcPr>
            <w:tcW w:w="1533" w:type="pct"/>
            <w:gridSpan w:val="3"/>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浙江仁欣环科院有限责任公司</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环保设施设计单位</w:t>
            </w:r>
          </w:p>
        </w:tc>
        <w:tc>
          <w:tcPr>
            <w:tcW w:w="1087" w:type="pct"/>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宁波奉化森鑫环保科技有限公司</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环保设施施工单位</w:t>
            </w:r>
          </w:p>
        </w:tc>
        <w:tc>
          <w:tcPr>
            <w:tcW w:w="1533" w:type="pct"/>
            <w:gridSpan w:val="3"/>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宁波奉化森鑫环保科技有限公司</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投资总概算</w:t>
            </w:r>
          </w:p>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（万元）</w:t>
            </w:r>
          </w:p>
        </w:tc>
        <w:tc>
          <w:tcPr>
            <w:tcW w:w="1087" w:type="pct"/>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200</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环保投资总概算（万元）</w:t>
            </w:r>
          </w:p>
        </w:tc>
        <w:tc>
          <w:tcPr>
            <w:tcW w:w="492" w:type="pct"/>
            <w:noWrap w:val="0"/>
            <w:vAlign w:val="center"/>
          </w:tcPr>
          <w:p>
            <w:pPr>
              <w:adjustRightInd/>
              <w:snapToGrid/>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67</w:t>
            </w:r>
          </w:p>
        </w:tc>
        <w:tc>
          <w:tcPr>
            <w:tcW w:w="464"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576" w:type="pct"/>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33.5</w:t>
            </w:r>
            <w:r>
              <w:rPr>
                <w:rFonts w:hint="eastAsia" w:ascii="Times New Roman" w:hAnsi="Times New Roman" w:eastAsia="宋体"/>
                <w:color w:val="auto"/>
                <w:sz w:val="24"/>
                <w:szCs w:val="24"/>
              </w:rPr>
              <w:t>%</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198" w:type="pct"/>
            <w:gridSpan w:val="2"/>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实际总概算</w:t>
            </w:r>
          </w:p>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（万元）</w:t>
            </w:r>
          </w:p>
        </w:tc>
        <w:tc>
          <w:tcPr>
            <w:tcW w:w="1087" w:type="pct"/>
            <w:noWrap w:val="0"/>
            <w:vAlign w:val="center"/>
          </w:tcPr>
          <w:p>
            <w:pPr>
              <w:adjustRightInd/>
              <w:snapToGrid/>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200</w:t>
            </w:r>
          </w:p>
        </w:tc>
        <w:tc>
          <w:tcPr>
            <w:tcW w:w="1180"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环保投资（万元）</w:t>
            </w:r>
          </w:p>
        </w:tc>
        <w:tc>
          <w:tcPr>
            <w:tcW w:w="492" w:type="pct"/>
            <w:noWrap w:val="0"/>
            <w:vAlign w:val="center"/>
          </w:tcPr>
          <w:p>
            <w:pPr>
              <w:adjustRightInd/>
              <w:snapToGrid/>
              <w:spacing w:after="0"/>
              <w:jc w:val="center"/>
              <w:rPr>
                <w:rFonts w:hint="default" w:ascii="Times New Roman" w:hAnsi="Times New Roman" w:eastAsia="宋体"/>
                <w:color w:val="auto"/>
                <w:sz w:val="24"/>
                <w:szCs w:val="24"/>
                <w:lang w:val="en-US" w:eastAsia="zh-CN" w:bidi="ar-SA"/>
              </w:rPr>
            </w:pPr>
            <w:r>
              <w:rPr>
                <w:rFonts w:hint="eastAsia" w:ascii="Times New Roman" w:hAnsi="Times New Roman" w:eastAsia="宋体"/>
                <w:color w:val="auto"/>
                <w:sz w:val="24"/>
                <w:szCs w:val="24"/>
                <w:lang w:val="en-US" w:eastAsia="zh-CN"/>
              </w:rPr>
              <w:t>67</w:t>
            </w:r>
          </w:p>
        </w:tc>
        <w:tc>
          <w:tcPr>
            <w:tcW w:w="464" w:type="pct"/>
            <w:noWrap w:val="0"/>
            <w:vAlign w:val="center"/>
          </w:tcPr>
          <w:p>
            <w:pPr>
              <w:adjustRightInd/>
              <w:snapToGrid/>
              <w:spacing w:after="0"/>
              <w:jc w:val="center"/>
              <w:rPr>
                <w:rFonts w:ascii="Times New Roman" w:hAnsi="Times New Roman" w:eastAsia="宋体"/>
                <w:color w:val="auto"/>
                <w:sz w:val="24"/>
                <w:szCs w:val="24"/>
                <w:lang w:val="en-US" w:eastAsia="zh-CN" w:bidi="ar-SA"/>
              </w:rPr>
            </w:pPr>
            <w:r>
              <w:rPr>
                <w:rFonts w:ascii="Times New Roman" w:hAnsi="Times New Roman" w:eastAsia="宋体"/>
                <w:color w:val="auto"/>
                <w:sz w:val="24"/>
                <w:szCs w:val="24"/>
              </w:rPr>
              <w:t>比例</w:t>
            </w:r>
          </w:p>
        </w:tc>
        <w:tc>
          <w:tcPr>
            <w:tcW w:w="576" w:type="pct"/>
            <w:noWrap w:val="0"/>
            <w:vAlign w:val="center"/>
          </w:tcPr>
          <w:p>
            <w:pPr>
              <w:adjustRightInd/>
              <w:snapToGrid/>
              <w:spacing w:after="0"/>
              <w:jc w:val="center"/>
              <w:rPr>
                <w:rFonts w:ascii="Times New Roman" w:hAnsi="Times New Roman" w:eastAsia="宋体"/>
                <w:color w:val="auto"/>
                <w:sz w:val="24"/>
                <w:szCs w:val="24"/>
                <w:lang w:val="en-US" w:eastAsia="zh-CN" w:bidi="ar-SA"/>
              </w:rPr>
            </w:pPr>
            <w:r>
              <w:rPr>
                <w:rFonts w:hint="eastAsia" w:ascii="Times New Roman" w:hAnsi="Times New Roman" w:eastAsia="宋体"/>
                <w:color w:val="auto"/>
                <w:sz w:val="24"/>
                <w:szCs w:val="24"/>
                <w:lang w:val="en-US" w:eastAsia="zh-CN"/>
              </w:rPr>
              <w:t>33.5</w:t>
            </w:r>
            <w:r>
              <w:rPr>
                <w:rFonts w:hint="eastAsia" w:ascii="Times New Roman" w:hAnsi="Times New Roman" w:eastAsia="宋体"/>
                <w:color w:val="auto"/>
                <w:sz w:val="24"/>
                <w:szCs w:val="24"/>
              </w:rPr>
              <w:t>%</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92" w:type="pct"/>
            <w:noWrap w:val="0"/>
            <w:vAlign w:val="center"/>
          </w:tcPr>
          <w:p>
            <w:pPr>
              <w:adjustRightInd/>
              <w:snapToGrid/>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验收监测依据</w:t>
            </w:r>
          </w:p>
        </w:tc>
        <w:tc>
          <w:tcPr>
            <w:tcW w:w="4507" w:type="pct"/>
            <w:gridSpan w:val="6"/>
            <w:noWrap w:val="0"/>
            <w:vAlign w:val="center"/>
          </w:tcPr>
          <w:p>
            <w:pPr>
              <w:pStyle w:val="4"/>
              <w:adjustRightInd/>
              <w:snapToGrid/>
              <w:spacing w:after="0" w:line="336" w:lineRule="auto"/>
              <w:jc w:val="both"/>
              <w:outlineLvl w:val="1"/>
              <w:rPr>
                <w:rFonts w:ascii="Times New Roman" w:hAnsi="Times New Roman" w:eastAsia="宋体"/>
                <w:color w:val="auto"/>
                <w:sz w:val="24"/>
                <w:szCs w:val="24"/>
              </w:rPr>
            </w:pPr>
            <w:bookmarkStart w:id="7" w:name="_Toc514334129"/>
            <w:r>
              <w:rPr>
                <w:rFonts w:ascii="Times New Roman" w:hAnsi="Times New Roman" w:eastAsia="宋体"/>
                <w:color w:val="auto"/>
                <w:sz w:val="24"/>
                <w:szCs w:val="24"/>
              </w:rPr>
              <w:t>1、建设项目环境保护相关法律、法规、规章和规范</w:t>
            </w:r>
            <w:bookmarkEnd w:id="7"/>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（1）《中华人民共和国环境保护法》（2015.1.1）；</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（2）《中华人民共和国水污染防治法》（2018.1）；</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（3）《中华人民共和国大气污染防治法》（2018.10.26修正）；</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（4）《中华人民共和国噪声污染防治法》（2022.6.5实施）；</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（5）《中华人民共和国固体废物污染环境防治法》（2020.9.1）；</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（6）《中华人民共和国土壤污染防治法》（2019.1.1）；</w:t>
            </w:r>
          </w:p>
          <w:p>
            <w:pPr>
              <w:adjustRightInd/>
              <w:snapToGrid/>
              <w:spacing w:after="0" w:line="336" w:lineRule="auto"/>
              <w:jc w:val="both"/>
              <w:rPr>
                <w:rFonts w:ascii="Times New Roman" w:hAnsi="Times New Roman" w:eastAsia="宋体"/>
                <w:color w:val="auto"/>
                <w:kern w:val="44"/>
                <w:sz w:val="24"/>
              </w:rPr>
            </w:pPr>
            <w:r>
              <w:rPr>
                <w:rFonts w:ascii="Times New Roman" w:hAnsi="Times New Roman" w:eastAsia="宋体"/>
                <w:color w:val="auto"/>
                <w:kern w:val="44"/>
                <w:sz w:val="24"/>
              </w:rPr>
              <w:t>（7）《建设项目环境保护管理条例》（中华人民共和国国务院令第682号，2017.7.16）；</w:t>
            </w:r>
          </w:p>
          <w:p>
            <w:pPr>
              <w:adjustRightInd/>
              <w:snapToGrid/>
              <w:spacing w:after="0" w:line="336" w:lineRule="auto"/>
              <w:jc w:val="both"/>
              <w:rPr>
                <w:rFonts w:ascii="Times New Roman" w:hAnsi="Times New Roman" w:eastAsia="宋体"/>
                <w:color w:val="auto"/>
                <w:kern w:val="44"/>
                <w:sz w:val="24"/>
                <w:szCs w:val="24"/>
              </w:rPr>
            </w:pPr>
            <w:bookmarkStart w:id="8" w:name="_Toc514334130"/>
            <w:r>
              <w:rPr>
                <w:rFonts w:ascii="Times New Roman" w:hAnsi="Times New Roman" w:eastAsia="宋体"/>
                <w:color w:val="auto"/>
                <w:kern w:val="44"/>
                <w:sz w:val="24"/>
                <w:szCs w:val="24"/>
              </w:rPr>
              <w:t>（8）《浙江省建设项目环境保护管理办法》（浙江省人民政府令第388号，2021.2.10）；</w:t>
            </w:r>
          </w:p>
          <w:p>
            <w:pPr>
              <w:adjustRightInd/>
              <w:snapToGrid/>
              <w:spacing w:after="0" w:line="336" w:lineRule="auto"/>
              <w:jc w:val="both"/>
              <w:rPr>
                <w:rFonts w:hint="eastAsia" w:ascii="Times New Roman" w:hAnsi="Times New Roman" w:eastAsia="宋体"/>
                <w:color w:val="auto"/>
                <w:kern w:val="44"/>
                <w:sz w:val="24"/>
                <w:szCs w:val="24"/>
              </w:rPr>
            </w:pPr>
            <w:r>
              <w:rPr>
                <w:rFonts w:ascii="Times New Roman" w:hAnsi="Times New Roman" w:eastAsia="宋体"/>
                <w:color w:val="auto"/>
                <w:kern w:val="44"/>
                <w:sz w:val="24"/>
                <w:szCs w:val="24"/>
              </w:rPr>
              <w:t>（9）《环境保护部关于发布〈建设项目竣工环境保护验收暂行办法〉的公告》（国环规环评[2017]4号）</w:t>
            </w:r>
            <w:r>
              <w:rPr>
                <w:rFonts w:hint="eastAsia" w:ascii="Times New Roman" w:hAnsi="Times New Roman" w:eastAsia="宋体"/>
                <w:color w:val="auto"/>
                <w:kern w:val="44"/>
                <w:sz w:val="24"/>
                <w:szCs w:val="24"/>
              </w:rPr>
              <w:t>；</w:t>
            </w:r>
          </w:p>
          <w:p>
            <w:pPr>
              <w:adjustRightInd/>
              <w:snapToGrid/>
              <w:spacing w:after="0" w:line="336" w:lineRule="auto"/>
              <w:jc w:val="both"/>
              <w:rPr>
                <w:rFonts w:hint="eastAsia" w:ascii="Times New Roman" w:hAnsi="Times New Roman" w:eastAsia="宋体"/>
                <w:color w:val="auto"/>
                <w:kern w:val="44"/>
                <w:sz w:val="24"/>
                <w:szCs w:val="24"/>
              </w:rPr>
            </w:pPr>
            <w:r>
              <w:rPr>
                <w:rFonts w:hint="eastAsia" w:ascii="Times New Roman" w:hAnsi="Times New Roman" w:eastAsia="宋体"/>
                <w:color w:val="auto"/>
                <w:kern w:val="44"/>
                <w:sz w:val="24"/>
                <w:szCs w:val="24"/>
              </w:rPr>
              <w:t>（10）关于印发《污染影响类建设项目重大变动清单》（试行）》的通知（环办环评函[2020]688号，2020年12月13日）；</w:t>
            </w:r>
          </w:p>
          <w:p>
            <w:pPr>
              <w:adjustRightInd/>
              <w:snapToGrid/>
              <w:spacing w:after="0" w:line="336" w:lineRule="auto"/>
              <w:jc w:val="both"/>
              <w:rPr>
                <w:rFonts w:hint="eastAsia" w:ascii="Times New Roman" w:hAnsi="Times New Roman" w:eastAsia="宋体"/>
                <w:color w:val="auto"/>
                <w:kern w:val="44"/>
                <w:sz w:val="24"/>
                <w:szCs w:val="24"/>
              </w:rPr>
            </w:pPr>
            <w:r>
              <w:rPr>
                <w:rFonts w:hint="eastAsia" w:ascii="Times New Roman" w:hAnsi="Times New Roman" w:eastAsia="宋体"/>
                <w:color w:val="auto"/>
                <w:kern w:val="44"/>
                <w:sz w:val="24"/>
                <w:szCs w:val="24"/>
              </w:rPr>
              <w:t>（11）《浙江省生态环境保护条例》，2022年8月1日实施；</w:t>
            </w:r>
          </w:p>
          <w:p>
            <w:pPr>
              <w:adjustRightInd/>
              <w:snapToGrid/>
              <w:spacing w:after="0" w:line="336" w:lineRule="auto"/>
              <w:jc w:val="both"/>
              <w:rPr>
                <w:rFonts w:hint="eastAsia" w:ascii="Times New Roman" w:hAnsi="Times New Roman" w:eastAsia="宋体"/>
                <w:color w:val="auto"/>
                <w:kern w:val="44"/>
                <w:sz w:val="24"/>
                <w:szCs w:val="24"/>
              </w:rPr>
            </w:pPr>
            <w:r>
              <w:rPr>
                <w:rFonts w:hint="eastAsia" w:ascii="Times New Roman" w:hAnsi="Times New Roman" w:eastAsia="宋体"/>
                <w:color w:val="auto"/>
                <w:kern w:val="44"/>
                <w:sz w:val="24"/>
                <w:szCs w:val="24"/>
              </w:rPr>
              <w:t>（12）排污许可管理条例（中华人民共和国国务院令第736号），2021年3月1日实施；</w:t>
            </w:r>
          </w:p>
          <w:p>
            <w:pPr>
              <w:adjustRightInd/>
              <w:snapToGrid/>
              <w:spacing w:after="0" w:line="336" w:lineRule="auto"/>
              <w:jc w:val="both"/>
              <w:rPr>
                <w:rFonts w:hint="eastAsia" w:ascii="Times New Roman" w:hAnsi="Times New Roman" w:eastAsia="宋体"/>
                <w:color w:val="auto"/>
                <w:kern w:val="44"/>
                <w:sz w:val="24"/>
                <w:szCs w:val="24"/>
              </w:rPr>
            </w:pPr>
            <w:r>
              <w:rPr>
                <w:rFonts w:hint="eastAsia" w:ascii="Times New Roman" w:hAnsi="Times New Roman" w:eastAsia="宋体"/>
                <w:color w:val="auto"/>
                <w:kern w:val="44"/>
                <w:sz w:val="24"/>
                <w:szCs w:val="24"/>
              </w:rPr>
              <w:t>（13）《国家危险废物名录（2021版）》（2021年1月1日）；</w:t>
            </w:r>
          </w:p>
          <w:p>
            <w:pPr>
              <w:adjustRightInd/>
              <w:snapToGrid/>
              <w:spacing w:after="0" w:line="336" w:lineRule="auto"/>
              <w:jc w:val="both"/>
              <w:rPr>
                <w:rFonts w:ascii="Times New Roman" w:hAnsi="Times New Roman"/>
                <w:color w:val="auto"/>
              </w:rPr>
            </w:pPr>
            <w:r>
              <w:rPr>
                <w:rFonts w:hint="eastAsia" w:ascii="Times New Roman" w:hAnsi="Times New Roman" w:eastAsia="宋体"/>
                <w:color w:val="auto"/>
                <w:kern w:val="44"/>
                <w:sz w:val="24"/>
                <w:szCs w:val="24"/>
              </w:rPr>
              <w:t>（14）《一般固体废物分类与代码》（2020版）国家市场监督管理总局、国家标准化管理委员会，2021年5月1日实施。</w:t>
            </w:r>
          </w:p>
          <w:p>
            <w:pPr>
              <w:adjustRightInd/>
              <w:snapToGrid/>
              <w:spacing w:after="0" w:line="336" w:lineRule="auto"/>
              <w:jc w:val="both"/>
              <w:rPr>
                <w:rFonts w:ascii="Times New Roman" w:hAnsi="Times New Roman" w:eastAsia="宋体"/>
                <w:b/>
                <w:bCs/>
                <w:color w:val="auto"/>
                <w:sz w:val="24"/>
                <w:szCs w:val="24"/>
              </w:rPr>
            </w:pPr>
            <w:r>
              <w:rPr>
                <w:rFonts w:ascii="Times New Roman" w:hAnsi="Times New Roman" w:eastAsia="宋体"/>
                <w:b/>
                <w:bCs/>
                <w:color w:val="auto"/>
                <w:sz w:val="24"/>
                <w:szCs w:val="24"/>
              </w:rPr>
              <w:t>2、建设项目竣工环境保护验收技术规范</w:t>
            </w:r>
            <w:bookmarkEnd w:id="8"/>
          </w:p>
          <w:p>
            <w:pPr>
              <w:adjustRightInd/>
              <w:snapToGrid/>
              <w:spacing w:after="0" w:line="336" w:lineRule="auto"/>
              <w:jc w:val="both"/>
              <w:rPr>
                <w:rFonts w:ascii="Times New Roman" w:hAnsi="Times New Roman" w:eastAsia="宋体"/>
                <w:color w:val="auto"/>
                <w:kern w:val="44"/>
                <w:sz w:val="24"/>
                <w:szCs w:val="24"/>
              </w:rPr>
            </w:pPr>
            <w:r>
              <w:rPr>
                <w:rFonts w:hint="eastAsia" w:ascii="Times New Roman" w:hAnsi="Times New Roman" w:eastAsia="宋体"/>
                <w:color w:val="auto"/>
                <w:kern w:val="44"/>
                <w:sz w:val="24"/>
                <w:szCs w:val="24"/>
              </w:rPr>
              <w:t>（1）</w:t>
            </w:r>
            <w:r>
              <w:rPr>
                <w:rFonts w:ascii="Times New Roman" w:hAnsi="Times New Roman" w:eastAsia="宋体"/>
                <w:color w:val="auto"/>
                <w:kern w:val="44"/>
                <w:sz w:val="24"/>
                <w:szCs w:val="24"/>
              </w:rPr>
              <w:t>《建设项目竣工环境保护验收技术指南污染影响类》（生态环境部，2018.5.15）。</w:t>
            </w:r>
            <w:bookmarkStart w:id="9" w:name="_Toc514334131"/>
          </w:p>
          <w:p>
            <w:pPr>
              <w:adjustRightInd/>
              <w:snapToGrid/>
              <w:spacing w:after="0" w:line="336" w:lineRule="auto"/>
              <w:jc w:val="both"/>
              <w:rPr>
                <w:rFonts w:ascii="Times New Roman" w:hAnsi="Times New Roman" w:eastAsia="宋体"/>
                <w:b/>
                <w:bCs/>
                <w:color w:val="auto"/>
                <w:sz w:val="24"/>
                <w:szCs w:val="24"/>
              </w:rPr>
            </w:pPr>
            <w:r>
              <w:rPr>
                <w:rFonts w:ascii="Times New Roman" w:hAnsi="Times New Roman" w:eastAsia="宋体"/>
                <w:b/>
                <w:bCs/>
                <w:color w:val="auto"/>
                <w:sz w:val="24"/>
                <w:szCs w:val="24"/>
              </w:rPr>
              <w:t>3、建设项目环境影响报告表及审批部门审批决定</w:t>
            </w:r>
            <w:bookmarkEnd w:id="9"/>
          </w:p>
          <w:p>
            <w:pPr>
              <w:adjustRightInd/>
              <w:snapToGrid/>
              <w:spacing w:after="0" w:line="336" w:lineRule="auto"/>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环境影响报告表》；</w:t>
            </w:r>
          </w:p>
          <w:p>
            <w:pPr>
              <w:adjustRightInd/>
              <w:snapToGrid/>
              <w:spacing w:after="0" w:line="336" w:lineRule="auto"/>
              <w:jc w:val="both"/>
              <w:rPr>
                <w:rFonts w:hint="eastAsia" w:ascii="Times New Roman" w:hAnsi="Times New Roman" w:eastAsia="宋体"/>
                <w:color w:val="auto"/>
                <w:sz w:val="24"/>
                <w:szCs w:val="24"/>
              </w:rPr>
            </w:pPr>
            <w:r>
              <w:rPr>
                <w:rFonts w:ascii="Times New Roman" w:hAnsi="Times New Roman" w:eastAsia="宋体"/>
                <w:color w:val="auto"/>
                <w:sz w:val="24"/>
                <w:szCs w:val="24"/>
              </w:rPr>
              <w:t>（2）关于《</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环境影响报告表》的审查意见，</w:t>
            </w:r>
            <w:r>
              <w:rPr>
                <w:rFonts w:hint="eastAsia" w:ascii="Times New Roman" w:hAnsi="Times New Roman" w:eastAsia="宋体"/>
                <w:color w:val="auto"/>
                <w:sz w:val="24"/>
                <w:szCs w:val="24"/>
              </w:rPr>
              <w:t>2023甬环海审</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建</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第005号；</w:t>
            </w:r>
          </w:p>
          <w:p>
            <w:pPr>
              <w:adjustRightInd/>
              <w:snapToGrid/>
              <w:spacing w:after="0" w:line="336" w:lineRule="auto"/>
              <w:jc w:val="both"/>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eastAsia="zh-CN"/>
              </w:rPr>
              <w:t>宁波莱堡制冷设备有限公司验收检测</w:t>
            </w:r>
            <w:r>
              <w:rPr>
                <w:rFonts w:hint="eastAsia" w:ascii="Times New Roman" w:hAnsi="Times New Roman" w:eastAsia="宋体"/>
                <w:color w:val="auto"/>
                <w:sz w:val="24"/>
                <w:szCs w:val="24"/>
              </w:rPr>
              <w:t>报告》，浙江</w:t>
            </w:r>
            <w:r>
              <w:rPr>
                <w:rFonts w:hint="eastAsia" w:ascii="Times New Roman" w:hAnsi="Times New Roman" w:eastAsia="宋体"/>
                <w:color w:val="auto"/>
                <w:sz w:val="24"/>
                <w:szCs w:val="24"/>
                <w:lang w:val="en-US" w:eastAsia="zh-CN"/>
              </w:rPr>
              <w:t>甬信</w:t>
            </w:r>
            <w:r>
              <w:rPr>
                <w:rFonts w:hint="eastAsia" w:ascii="Times New Roman" w:hAnsi="Times New Roman" w:eastAsia="宋体"/>
                <w:color w:val="auto"/>
                <w:sz w:val="24"/>
                <w:szCs w:val="24"/>
              </w:rPr>
              <w:t>检测技术有限公司</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报告编号：</w:t>
            </w:r>
            <w:r>
              <w:rPr>
                <w:rFonts w:hint="eastAsia" w:ascii="Times New Roman" w:hAnsi="Times New Roman" w:eastAsia="宋体"/>
                <w:color w:val="auto"/>
                <w:sz w:val="24"/>
                <w:szCs w:val="24"/>
              </w:rPr>
              <w:t>YXE20232751</w:t>
            </w:r>
            <w:r>
              <w:rPr>
                <w:rFonts w:hint="eastAsia" w:ascii="Times New Roman" w:hAnsi="Times New Roman" w:eastAsia="宋体"/>
                <w:color w:val="auto"/>
                <w:sz w:val="24"/>
                <w:szCs w:val="24"/>
                <w:lang w:eastAsia="zh-CN"/>
              </w:rPr>
              <w:t>；</w:t>
            </w:r>
          </w:p>
          <w:p>
            <w:pPr>
              <w:adjustRightInd/>
              <w:snapToGrid/>
              <w:spacing w:after="0" w:line="336" w:lineRule="auto"/>
              <w:jc w:val="both"/>
              <w:rPr>
                <w:rFonts w:hint="eastAsia" w:eastAsia="宋体"/>
                <w:lang w:eastAsia="zh-CN"/>
              </w:rPr>
            </w:pP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eastAsia="zh-CN"/>
              </w:rPr>
              <w:t>宁波莱堡制冷设备有限公司验收检测</w:t>
            </w:r>
            <w:r>
              <w:rPr>
                <w:rFonts w:hint="eastAsia" w:ascii="Times New Roman" w:hAnsi="Times New Roman" w:eastAsia="宋体"/>
                <w:color w:val="auto"/>
                <w:sz w:val="24"/>
                <w:szCs w:val="24"/>
              </w:rPr>
              <w:t>报告》，浙江</w:t>
            </w:r>
            <w:r>
              <w:rPr>
                <w:rFonts w:hint="eastAsia" w:ascii="Times New Roman" w:hAnsi="Times New Roman" w:eastAsia="宋体"/>
                <w:color w:val="auto"/>
                <w:sz w:val="24"/>
                <w:szCs w:val="24"/>
                <w:lang w:val="en-US" w:eastAsia="zh-CN"/>
              </w:rPr>
              <w:t>甬信</w:t>
            </w:r>
            <w:r>
              <w:rPr>
                <w:rFonts w:hint="eastAsia" w:ascii="Times New Roman" w:hAnsi="Times New Roman" w:eastAsia="宋体"/>
                <w:color w:val="auto"/>
                <w:sz w:val="24"/>
                <w:szCs w:val="24"/>
              </w:rPr>
              <w:t>检测技术有限公司</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报告编号：</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气</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YXE24010204</w:t>
            </w:r>
            <w:r>
              <w:rPr>
                <w:rFonts w:hint="eastAsia" w:ascii="Times New Roman" w:hAnsi="Times New Roman" w:eastAsia="宋体"/>
                <w:color w:val="auto"/>
                <w:sz w:val="24"/>
                <w:szCs w:val="24"/>
                <w:lang w:eastAsia="zh-CN"/>
              </w:rPr>
              <w:t>。</w:t>
            </w:r>
          </w:p>
        </w:tc>
      </w:tr>
      <w:tr>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92" w:type="pct"/>
            <w:tcBorders>
              <w:left w:val="single" w:color="auto" w:sz="4" w:space="0"/>
              <w:bottom w:val="single" w:color="auto" w:sz="4" w:space="0"/>
            </w:tcBorders>
            <w:noWrap w:val="0"/>
            <w:vAlign w:val="center"/>
          </w:tcPr>
          <w:p>
            <w:pPr>
              <w:adjustRightInd/>
              <w:snapToGrid/>
              <w:spacing w:after="0"/>
              <w:rPr>
                <w:rFonts w:ascii="Times New Roman" w:hAnsi="Times New Roman" w:eastAsia="宋体"/>
                <w:color w:val="auto"/>
                <w:sz w:val="24"/>
                <w:szCs w:val="24"/>
              </w:rPr>
            </w:pPr>
            <w:r>
              <w:rPr>
                <w:rFonts w:ascii="Times New Roman" w:hAnsi="Times New Roman" w:eastAsia="宋体" w:cs="Times New Roman"/>
                <w:color w:val="auto"/>
                <w:sz w:val="24"/>
                <w:szCs w:val="24"/>
              </w:rPr>
              <w:t>验收监测评价标准、标号、级别、限值</w:t>
            </w:r>
          </w:p>
        </w:tc>
        <w:tc>
          <w:tcPr>
            <w:tcW w:w="4507" w:type="pct"/>
            <w:gridSpan w:val="6"/>
            <w:tcBorders>
              <w:bottom w:val="single" w:color="auto" w:sz="4" w:space="0"/>
            </w:tcBorders>
            <w:noWrap w:val="0"/>
            <w:vAlign w:val="top"/>
          </w:tcPr>
          <w:p>
            <w:pPr>
              <w:adjustRightInd/>
              <w:snapToGrid/>
              <w:spacing w:after="0" w:line="336" w:lineRule="auto"/>
              <w:ind w:firstLine="482" w:firstLineChars="200"/>
              <w:jc w:val="both"/>
              <w:rPr>
                <w:rFonts w:ascii="Times New Roman" w:hAnsi="Times New Roman" w:eastAsia="宋体"/>
                <w:b/>
                <w:bCs/>
                <w:color w:val="auto"/>
                <w:sz w:val="24"/>
                <w:szCs w:val="24"/>
              </w:rPr>
            </w:pPr>
            <w:r>
              <w:rPr>
                <w:rFonts w:hint="eastAsia" w:ascii="Times New Roman" w:hAnsi="Times New Roman" w:eastAsia="宋体"/>
                <w:b/>
                <w:bCs/>
                <w:color w:val="auto"/>
                <w:sz w:val="24"/>
                <w:szCs w:val="24"/>
              </w:rPr>
              <w:t>1、</w:t>
            </w:r>
            <w:r>
              <w:rPr>
                <w:rFonts w:ascii="Times New Roman" w:hAnsi="Times New Roman" w:eastAsia="宋体"/>
                <w:b/>
                <w:bCs/>
                <w:color w:val="auto"/>
                <w:sz w:val="24"/>
                <w:szCs w:val="24"/>
              </w:rPr>
              <w:t>废气</w:t>
            </w:r>
          </w:p>
          <w:p>
            <w:pPr>
              <w:autoSpaceDE w:val="0"/>
              <w:autoSpaceDN w:val="0"/>
              <w:adjustRightInd/>
              <w:snapToGrid/>
              <w:spacing w:after="0" w:line="336" w:lineRule="auto"/>
              <w:ind w:firstLine="480" w:firstLineChars="200"/>
              <w:jc w:val="both"/>
              <w:rPr>
                <w:rFonts w:ascii="Times New Roman" w:hAnsi="Times New Roman" w:eastAsia="宋体"/>
                <w:color w:val="auto"/>
                <w:sz w:val="24"/>
              </w:rPr>
            </w:pPr>
            <w:r>
              <w:rPr>
                <w:rFonts w:hint="eastAsia" w:ascii="Times New Roman" w:hAnsi="Times New Roman" w:eastAsia="宋体"/>
                <w:color w:val="auto"/>
                <w:sz w:val="24"/>
              </w:rPr>
              <w:t>喷塑、固化、浸漆、晾干过程产生的颗粒物、非甲烷总烃执行《工业涂装工序大气污染物排放标准》（DB332146-2018）中表1.大气污染物排放限值要求以及表6.企业边界大气污染物浓度限值要求。</w:t>
            </w:r>
            <w:r>
              <w:rPr>
                <w:rFonts w:ascii="Times New Roman" w:hAnsi="Times New Roman" w:eastAsia="宋体"/>
                <w:color w:val="auto"/>
                <w:sz w:val="24"/>
              </w:rPr>
              <w:t>具体标准限值详见下表。</w:t>
            </w:r>
          </w:p>
          <w:p>
            <w:pPr>
              <w:pStyle w:val="14"/>
              <w:adjustRightInd/>
              <w:snapToGrid/>
              <w:spacing w:after="0" w:line="240" w:lineRule="auto"/>
              <w:rPr>
                <w:rFonts w:ascii="Times New Roman" w:hAnsi="Times New Roman" w:eastAsia="宋体"/>
                <w:bCs/>
                <w:color w:val="auto"/>
                <w:sz w:val="21"/>
                <w:szCs w:val="21"/>
                <w:vertAlign w:val="superscript"/>
              </w:rPr>
            </w:pPr>
            <w:r>
              <w:rPr>
                <w:rFonts w:ascii="Times New Roman" w:hAnsi="Times New Roman" w:eastAsia="宋体"/>
                <w:bCs/>
                <w:color w:val="auto"/>
                <w:sz w:val="21"/>
                <w:szCs w:val="21"/>
              </w:rPr>
              <w:t>表1-</w:t>
            </w:r>
            <w:r>
              <w:rPr>
                <w:rFonts w:hint="eastAsia" w:ascii="Times New Roman" w:hAnsi="Times New Roman" w:eastAsia="宋体"/>
                <w:bCs/>
                <w:color w:val="auto"/>
                <w:sz w:val="21"/>
                <w:szCs w:val="21"/>
              </w:rPr>
              <w:t>1</w:t>
            </w:r>
            <w:r>
              <w:rPr>
                <w:rFonts w:hint="eastAsia" w:ascii="Times New Roman" w:hAnsi="Times New Roman" w:eastAsia="宋体"/>
                <w:bCs/>
                <w:color w:val="auto"/>
                <w:sz w:val="21"/>
                <w:szCs w:val="21"/>
                <w:lang w:val="en-US" w:eastAsia="zh-CN"/>
              </w:rPr>
              <w:t xml:space="preserve"> </w:t>
            </w:r>
            <w:r>
              <w:rPr>
                <w:rFonts w:hint="eastAsia" w:ascii="Times New Roman" w:hAnsi="Times New Roman" w:eastAsia="宋体"/>
                <w:bCs/>
                <w:color w:val="auto"/>
                <w:sz w:val="21"/>
                <w:szCs w:val="21"/>
              </w:rPr>
              <w:t>《工业涂装工序大气污染物排放标准》（DB332146-2018）</w:t>
            </w:r>
          </w:p>
          <w:tbl>
            <w:tblPr>
              <w:tblStyle w:val="11"/>
              <w:tblW w:w="8121" w:type="dxa"/>
              <w:tblInd w:w="0" w:type="dxa"/>
              <w:tblLayout w:type="autofit"/>
              <w:tblCellMar>
                <w:top w:w="0" w:type="dxa"/>
                <w:left w:w="0" w:type="dxa"/>
                <w:bottom w:w="0" w:type="dxa"/>
                <w:right w:w="0" w:type="dxa"/>
              </w:tblCellMar>
            </w:tblPr>
            <w:tblGrid>
              <w:gridCol w:w="1452"/>
              <w:gridCol w:w="2905"/>
              <w:gridCol w:w="3764"/>
            </w:tblGrid>
            <w:tr>
              <w:tblPrEx>
                <w:tblCellMar>
                  <w:top w:w="0" w:type="dxa"/>
                  <w:left w:w="0" w:type="dxa"/>
                  <w:bottom w:w="0" w:type="dxa"/>
                  <w:right w:w="0" w:type="dxa"/>
                </w:tblCellMar>
              </w:tblPrEx>
              <w:trPr>
                <w:trHeight w:val="379" w:hRule="exact"/>
              </w:trPr>
              <w:tc>
                <w:tcPr>
                  <w:tcW w:w="1452" w:type="dxa"/>
                  <w:tcBorders>
                    <w:top w:val="single" w:color="000000" w:sz="12" w:space="0"/>
                    <w:left w:val="nil"/>
                    <w:bottom w:val="single" w:color="000000" w:sz="4" w:space="0"/>
                    <w:right w:val="single" w:color="000000" w:sz="4" w:space="0"/>
                  </w:tcBorders>
                  <w:noWrap w:val="0"/>
                  <w:vAlign w:val="top"/>
                </w:tcPr>
                <w:p>
                  <w:pPr>
                    <w:pStyle w:val="15"/>
                    <w:spacing w:before="42" w:line="240" w:lineRule="auto"/>
                    <w:ind w:right="8"/>
                    <w:jc w:val="center"/>
                    <w:rPr>
                      <w:rFonts w:hint="default" w:ascii="宋体" w:hAnsi="宋体" w:eastAsia="宋体" w:cs="宋体"/>
                      <w:sz w:val="21"/>
                      <w:szCs w:val="21"/>
                    </w:rPr>
                  </w:pPr>
                  <w:r>
                    <w:rPr>
                      <w:rFonts w:hint="default" w:ascii="宋体" w:hAnsi="宋体" w:eastAsia="宋体" w:cs="宋体"/>
                      <w:spacing w:val="5"/>
                      <w:sz w:val="21"/>
                      <w:szCs w:val="21"/>
                    </w:rPr>
                    <w:t>污染物项目</w:t>
                  </w:r>
                </w:p>
              </w:tc>
              <w:tc>
                <w:tcPr>
                  <w:tcW w:w="2905" w:type="dxa"/>
                  <w:tcBorders>
                    <w:top w:val="single" w:color="000000" w:sz="12" w:space="0"/>
                    <w:left w:val="single" w:color="000000" w:sz="4" w:space="0"/>
                    <w:bottom w:val="single" w:color="000000" w:sz="4" w:space="0"/>
                    <w:right w:val="single" w:color="000000" w:sz="4" w:space="0"/>
                  </w:tcBorders>
                  <w:noWrap w:val="0"/>
                  <w:vAlign w:val="top"/>
                </w:tcPr>
                <w:p>
                  <w:pPr>
                    <w:pStyle w:val="15"/>
                    <w:spacing w:before="42" w:line="240" w:lineRule="auto"/>
                    <w:ind w:right="10"/>
                    <w:jc w:val="center"/>
                    <w:rPr>
                      <w:rFonts w:hint="default" w:ascii="宋体" w:hAnsi="宋体" w:eastAsia="宋体" w:cs="宋体"/>
                      <w:sz w:val="21"/>
                      <w:szCs w:val="21"/>
                    </w:rPr>
                  </w:pPr>
                  <w:r>
                    <w:rPr>
                      <w:rFonts w:hint="default" w:ascii="宋体" w:hAnsi="宋体" w:eastAsia="宋体" w:cs="宋体"/>
                      <w:spacing w:val="6"/>
                      <w:sz w:val="21"/>
                      <w:szCs w:val="21"/>
                    </w:rPr>
                    <w:t>车间或生产设施排气筒</w:t>
                  </w:r>
                </w:p>
              </w:tc>
              <w:tc>
                <w:tcPr>
                  <w:tcW w:w="3764" w:type="dxa"/>
                  <w:tcBorders>
                    <w:top w:val="single" w:color="000000" w:sz="12" w:space="0"/>
                    <w:left w:val="single" w:color="000000" w:sz="4" w:space="0"/>
                    <w:bottom w:val="single" w:color="000000" w:sz="4" w:space="0"/>
                    <w:right w:val="nil"/>
                  </w:tcBorders>
                  <w:noWrap w:val="0"/>
                  <w:vAlign w:val="top"/>
                </w:tcPr>
                <w:p>
                  <w:pPr>
                    <w:pStyle w:val="15"/>
                    <w:spacing w:before="42" w:line="240" w:lineRule="auto"/>
                    <w:ind w:right="11"/>
                    <w:jc w:val="center"/>
                    <w:rPr>
                      <w:rFonts w:hint="default" w:ascii="宋体" w:hAnsi="宋体" w:eastAsia="宋体" w:cs="宋体"/>
                      <w:sz w:val="21"/>
                      <w:szCs w:val="21"/>
                    </w:rPr>
                  </w:pPr>
                  <w:r>
                    <w:rPr>
                      <w:rFonts w:hint="default" w:ascii="宋体" w:hAnsi="宋体" w:eastAsia="宋体" w:cs="宋体"/>
                      <w:spacing w:val="6"/>
                      <w:sz w:val="21"/>
                      <w:szCs w:val="21"/>
                    </w:rPr>
                    <w:t>企业边界大气污染物浓度限值</w:t>
                  </w:r>
                </w:p>
              </w:tc>
            </w:tr>
            <w:tr>
              <w:tblPrEx>
                <w:tblCellMar>
                  <w:top w:w="0" w:type="dxa"/>
                  <w:left w:w="0" w:type="dxa"/>
                  <w:bottom w:w="0" w:type="dxa"/>
                  <w:right w:w="0" w:type="dxa"/>
                </w:tblCellMar>
              </w:tblPrEx>
              <w:trPr>
                <w:trHeight w:val="370" w:hRule="exact"/>
              </w:trPr>
              <w:tc>
                <w:tcPr>
                  <w:tcW w:w="1452" w:type="dxa"/>
                  <w:tcBorders>
                    <w:top w:val="single" w:color="000000" w:sz="4" w:space="0"/>
                    <w:left w:val="nil"/>
                    <w:bottom w:val="single" w:color="000000" w:sz="4" w:space="0"/>
                    <w:right w:val="single" w:color="000000" w:sz="4" w:space="0"/>
                  </w:tcBorders>
                  <w:noWrap w:val="0"/>
                  <w:vAlign w:val="top"/>
                </w:tcPr>
                <w:p>
                  <w:pPr>
                    <w:pStyle w:val="15"/>
                    <w:spacing w:before="42" w:line="240" w:lineRule="auto"/>
                    <w:ind w:left="2" w:right="0"/>
                    <w:jc w:val="center"/>
                    <w:rPr>
                      <w:rFonts w:hint="default" w:ascii="宋体" w:hAnsi="宋体" w:eastAsia="宋体" w:cs="宋体"/>
                      <w:sz w:val="21"/>
                      <w:szCs w:val="21"/>
                    </w:rPr>
                  </w:pPr>
                  <w:r>
                    <w:rPr>
                      <w:rFonts w:hint="default" w:ascii="宋体" w:hAnsi="宋体" w:eastAsia="宋体" w:cs="宋体"/>
                      <w:spacing w:val="8"/>
                      <w:sz w:val="21"/>
                      <w:szCs w:val="21"/>
                    </w:rPr>
                    <w:t>颗粒物</w:t>
                  </w:r>
                </w:p>
              </w:tc>
              <w:tc>
                <w:tcPr>
                  <w:tcW w:w="2905" w:type="dxa"/>
                  <w:tcBorders>
                    <w:top w:val="single" w:color="000000" w:sz="4" w:space="0"/>
                    <w:left w:val="single" w:color="000000" w:sz="4" w:space="0"/>
                    <w:bottom w:val="single" w:color="000000" w:sz="4" w:space="0"/>
                    <w:right w:val="single" w:color="000000" w:sz="4" w:space="0"/>
                  </w:tcBorders>
                  <w:noWrap w:val="0"/>
                  <w:vAlign w:val="top"/>
                </w:tcPr>
                <w:p>
                  <w:pPr>
                    <w:pStyle w:val="15"/>
                    <w:spacing w:before="92" w:line="240" w:lineRule="auto"/>
                    <w:ind w:right="2"/>
                    <w:jc w:val="center"/>
                    <w:rPr>
                      <w:rFonts w:hint="default" w:ascii="Times New Roman" w:hAnsi="Times New Roman" w:eastAsia="Times New Roman" w:cs="Times New Roman"/>
                      <w:sz w:val="21"/>
                      <w:szCs w:val="21"/>
                    </w:rPr>
                  </w:pPr>
                  <w:r>
                    <w:rPr>
                      <w:rFonts w:ascii="Times New Roman" w:hAnsi="Times New Roman"/>
                      <w:spacing w:val="3"/>
                      <w:sz w:val="21"/>
                    </w:rPr>
                    <w:t>30mg/m³</w:t>
                  </w:r>
                </w:p>
              </w:tc>
              <w:tc>
                <w:tcPr>
                  <w:tcW w:w="3764" w:type="dxa"/>
                  <w:tcBorders>
                    <w:top w:val="single" w:color="000000" w:sz="4" w:space="0"/>
                    <w:left w:val="single" w:color="000000" w:sz="4" w:space="0"/>
                    <w:bottom w:val="single" w:color="000000" w:sz="4" w:space="0"/>
                    <w:right w:val="nil"/>
                  </w:tcBorders>
                  <w:noWrap w:val="0"/>
                  <w:vAlign w:val="top"/>
                </w:tcPr>
                <w:p>
                  <w:pPr>
                    <w:pStyle w:val="15"/>
                    <w:spacing w:before="92" w:line="240" w:lineRule="auto"/>
                    <w:ind w:right="1"/>
                    <w:jc w:val="center"/>
                    <w:rPr>
                      <w:rFonts w:hint="default" w:ascii="Times New Roman" w:hAnsi="Times New Roman" w:eastAsia="Times New Roman" w:cs="Times New Roman"/>
                      <w:sz w:val="21"/>
                      <w:szCs w:val="21"/>
                    </w:rPr>
                  </w:pPr>
                  <w:r>
                    <w:rPr>
                      <w:rFonts w:ascii="Times New Roman" w:hAnsi="Times New Roman"/>
                      <w:spacing w:val="2"/>
                      <w:sz w:val="21"/>
                    </w:rPr>
                    <w:t>1.0mg/m³</w:t>
                  </w:r>
                </w:p>
              </w:tc>
            </w:tr>
            <w:tr>
              <w:tblPrEx>
                <w:tblCellMar>
                  <w:top w:w="0" w:type="dxa"/>
                  <w:left w:w="0" w:type="dxa"/>
                  <w:bottom w:w="0" w:type="dxa"/>
                  <w:right w:w="0" w:type="dxa"/>
                </w:tblCellMar>
              </w:tblPrEx>
              <w:trPr>
                <w:trHeight w:val="370" w:hRule="exact"/>
              </w:trPr>
              <w:tc>
                <w:tcPr>
                  <w:tcW w:w="1452" w:type="dxa"/>
                  <w:tcBorders>
                    <w:top w:val="single" w:color="000000" w:sz="4" w:space="0"/>
                    <w:left w:val="nil"/>
                    <w:bottom w:val="single" w:color="000000" w:sz="4" w:space="0"/>
                    <w:right w:val="single" w:color="000000" w:sz="4" w:space="0"/>
                  </w:tcBorders>
                  <w:noWrap w:val="0"/>
                  <w:vAlign w:val="top"/>
                </w:tcPr>
                <w:p>
                  <w:pPr>
                    <w:pStyle w:val="15"/>
                    <w:spacing w:before="42" w:line="240" w:lineRule="auto"/>
                    <w:ind w:right="8"/>
                    <w:jc w:val="center"/>
                    <w:rPr>
                      <w:rFonts w:hint="default" w:ascii="宋体" w:hAnsi="宋体" w:eastAsia="宋体" w:cs="宋体"/>
                      <w:sz w:val="21"/>
                      <w:szCs w:val="21"/>
                    </w:rPr>
                  </w:pPr>
                  <w:r>
                    <w:rPr>
                      <w:rFonts w:hint="default" w:ascii="宋体" w:hAnsi="宋体" w:eastAsia="宋体" w:cs="宋体"/>
                      <w:spacing w:val="5"/>
                      <w:sz w:val="21"/>
                      <w:szCs w:val="21"/>
                    </w:rPr>
                    <w:t>非甲烷总烃</w:t>
                  </w:r>
                </w:p>
              </w:tc>
              <w:tc>
                <w:tcPr>
                  <w:tcW w:w="2905" w:type="dxa"/>
                  <w:tcBorders>
                    <w:top w:val="single" w:color="000000" w:sz="4" w:space="0"/>
                    <w:left w:val="single" w:color="000000" w:sz="4" w:space="0"/>
                    <w:bottom w:val="single" w:color="000000" w:sz="4" w:space="0"/>
                    <w:right w:val="single" w:color="000000" w:sz="4" w:space="0"/>
                  </w:tcBorders>
                  <w:noWrap w:val="0"/>
                  <w:vAlign w:val="top"/>
                </w:tcPr>
                <w:p>
                  <w:pPr>
                    <w:pStyle w:val="15"/>
                    <w:spacing w:before="92" w:line="240" w:lineRule="auto"/>
                    <w:ind w:right="2"/>
                    <w:jc w:val="center"/>
                    <w:rPr>
                      <w:rFonts w:hint="default" w:ascii="Times New Roman" w:hAnsi="Times New Roman" w:eastAsia="Times New Roman" w:cs="Times New Roman"/>
                      <w:sz w:val="21"/>
                      <w:szCs w:val="21"/>
                    </w:rPr>
                  </w:pPr>
                  <w:r>
                    <w:rPr>
                      <w:rFonts w:ascii="Times New Roman" w:hAnsi="Times New Roman"/>
                      <w:spacing w:val="3"/>
                      <w:sz w:val="21"/>
                    </w:rPr>
                    <w:t>80mg/m³</w:t>
                  </w:r>
                </w:p>
              </w:tc>
              <w:tc>
                <w:tcPr>
                  <w:tcW w:w="3764" w:type="dxa"/>
                  <w:tcBorders>
                    <w:top w:val="single" w:color="000000" w:sz="4" w:space="0"/>
                    <w:left w:val="single" w:color="000000" w:sz="4" w:space="0"/>
                    <w:bottom w:val="single" w:color="000000" w:sz="4" w:space="0"/>
                    <w:right w:val="nil"/>
                  </w:tcBorders>
                  <w:noWrap w:val="0"/>
                  <w:vAlign w:val="top"/>
                </w:tcPr>
                <w:p>
                  <w:pPr>
                    <w:pStyle w:val="15"/>
                    <w:spacing w:before="92" w:line="240" w:lineRule="auto"/>
                    <w:ind w:right="1"/>
                    <w:jc w:val="center"/>
                    <w:rPr>
                      <w:rFonts w:hint="default" w:ascii="Times New Roman" w:hAnsi="Times New Roman" w:eastAsia="Times New Roman" w:cs="Times New Roman"/>
                      <w:sz w:val="21"/>
                      <w:szCs w:val="21"/>
                    </w:rPr>
                  </w:pPr>
                  <w:r>
                    <w:rPr>
                      <w:rFonts w:ascii="Times New Roman" w:hAnsi="Times New Roman"/>
                      <w:spacing w:val="2"/>
                      <w:sz w:val="21"/>
                    </w:rPr>
                    <w:t>4.0mg/m³</w:t>
                  </w:r>
                </w:p>
              </w:tc>
            </w:tr>
            <w:tr>
              <w:tblPrEx>
                <w:tblCellMar>
                  <w:top w:w="0" w:type="dxa"/>
                  <w:left w:w="0" w:type="dxa"/>
                  <w:bottom w:w="0" w:type="dxa"/>
                  <w:right w:w="0" w:type="dxa"/>
                </w:tblCellMar>
              </w:tblPrEx>
              <w:trPr>
                <w:trHeight w:val="372" w:hRule="exact"/>
              </w:trPr>
              <w:tc>
                <w:tcPr>
                  <w:tcW w:w="1452" w:type="dxa"/>
                  <w:tcBorders>
                    <w:top w:val="single" w:color="000000" w:sz="4" w:space="0"/>
                    <w:left w:val="nil"/>
                    <w:bottom w:val="single" w:color="000000" w:sz="4" w:space="0"/>
                    <w:right w:val="single" w:color="000000" w:sz="4" w:space="0"/>
                  </w:tcBorders>
                  <w:noWrap w:val="0"/>
                  <w:vAlign w:val="top"/>
                </w:tcPr>
                <w:p>
                  <w:pPr>
                    <w:pStyle w:val="15"/>
                    <w:spacing w:before="94" w:line="240" w:lineRule="auto"/>
                    <w:ind w:right="1"/>
                    <w:jc w:val="center"/>
                    <w:rPr>
                      <w:rFonts w:hint="default" w:ascii="Times New Roman" w:hAnsi="Times New Roman" w:eastAsia="Times New Roman" w:cs="Times New Roman"/>
                      <w:sz w:val="21"/>
                      <w:szCs w:val="21"/>
                    </w:rPr>
                  </w:pPr>
                  <w:r>
                    <w:rPr>
                      <w:rFonts w:ascii="Times New Roman"/>
                      <w:spacing w:val="2"/>
                      <w:sz w:val="21"/>
                    </w:rPr>
                    <w:t>TVOC</w:t>
                  </w:r>
                </w:p>
              </w:tc>
              <w:tc>
                <w:tcPr>
                  <w:tcW w:w="2905" w:type="dxa"/>
                  <w:tcBorders>
                    <w:top w:val="single" w:color="000000" w:sz="4" w:space="0"/>
                    <w:left w:val="single" w:color="000000" w:sz="4" w:space="0"/>
                    <w:bottom w:val="single" w:color="000000" w:sz="4" w:space="0"/>
                    <w:right w:val="single" w:color="000000" w:sz="4" w:space="0"/>
                  </w:tcBorders>
                  <w:noWrap w:val="0"/>
                  <w:vAlign w:val="top"/>
                </w:tcPr>
                <w:p>
                  <w:pPr>
                    <w:pStyle w:val="15"/>
                    <w:spacing w:before="45" w:line="240" w:lineRule="auto"/>
                    <w:ind w:right="6"/>
                    <w:jc w:val="center"/>
                    <w:rPr>
                      <w:rFonts w:hint="default" w:ascii="宋体" w:hAnsi="宋体" w:eastAsia="宋体" w:cs="宋体"/>
                      <w:sz w:val="21"/>
                      <w:szCs w:val="21"/>
                    </w:rPr>
                  </w:pPr>
                  <w:r>
                    <w:rPr>
                      <w:rFonts w:ascii="Times New Roman" w:hAnsi="Times New Roman"/>
                      <w:spacing w:val="2"/>
                      <w:sz w:val="21"/>
                    </w:rPr>
                    <w:t>150mg/m</w:t>
                  </w:r>
                  <w:r>
                    <w:rPr>
                      <w:rFonts w:ascii="宋体" w:hAnsi="宋体"/>
                      <w:spacing w:val="2"/>
                      <w:sz w:val="21"/>
                    </w:rPr>
                    <w:t>³</w:t>
                  </w:r>
                </w:p>
              </w:tc>
              <w:tc>
                <w:tcPr>
                  <w:tcW w:w="3764" w:type="dxa"/>
                  <w:tcBorders>
                    <w:top w:val="single" w:color="000000" w:sz="4" w:space="0"/>
                    <w:left w:val="single" w:color="000000" w:sz="4" w:space="0"/>
                    <w:bottom w:val="single" w:color="000000" w:sz="4" w:space="0"/>
                    <w:right w:val="nil"/>
                  </w:tcBorders>
                  <w:noWrap w:val="0"/>
                  <w:vAlign w:val="top"/>
                </w:tcPr>
                <w:p>
                  <w:pPr>
                    <w:pStyle w:val="15"/>
                    <w:spacing w:before="94" w:line="240" w:lineRule="auto"/>
                    <w:ind w:right="2"/>
                    <w:jc w:val="center"/>
                    <w:rPr>
                      <w:rFonts w:hint="default" w:ascii="Times New Roman" w:hAnsi="Times New Roman" w:eastAsia="Times New Roman" w:cs="Times New Roman"/>
                      <w:sz w:val="21"/>
                      <w:szCs w:val="21"/>
                    </w:rPr>
                  </w:pPr>
                  <w:r>
                    <w:rPr>
                      <w:rFonts w:ascii="Times New Roman"/>
                      <w:sz w:val="21"/>
                    </w:rPr>
                    <w:t>/</w:t>
                  </w:r>
                </w:p>
              </w:tc>
            </w:tr>
            <w:tr>
              <w:tblPrEx>
                <w:tblCellMar>
                  <w:top w:w="0" w:type="dxa"/>
                  <w:left w:w="0" w:type="dxa"/>
                  <w:bottom w:w="0" w:type="dxa"/>
                  <w:right w:w="0" w:type="dxa"/>
                </w:tblCellMar>
              </w:tblPrEx>
              <w:trPr>
                <w:trHeight w:val="370" w:hRule="exact"/>
              </w:trPr>
              <w:tc>
                <w:tcPr>
                  <w:tcW w:w="1452" w:type="dxa"/>
                  <w:tcBorders>
                    <w:top w:val="single" w:color="000000" w:sz="4" w:space="0"/>
                    <w:left w:val="nil"/>
                    <w:bottom w:val="single" w:color="000000" w:sz="4" w:space="0"/>
                    <w:right w:val="single" w:color="000000" w:sz="4" w:space="0"/>
                  </w:tcBorders>
                  <w:noWrap w:val="0"/>
                  <w:vAlign w:val="top"/>
                </w:tcPr>
                <w:p>
                  <w:pPr>
                    <w:pStyle w:val="15"/>
                    <w:spacing w:before="42" w:line="240" w:lineRule="auto"/>
                    <w:ind w:right="0"/>
                    <w:jc w:val="center"/>
                    <w:rPr>
                      <w:rFonts w:hint="default" w:ascii="Times New Roman" w:hAnsi="Times New Roman" w:eastAsia="Times New Roman" w:cs="Times New Roman"/>
                      <w:sz w:val="14"/>
                      <w:szCs w:val="14"/>
                    </w:rPr>
                  </w:pPr>
                  <w:r>
                    <w:rPr>
                      <w:rFonts w:hint="default" w:ascii="宋体" w:hAnsi="宋体" w:eastAsia="宋体" w:cs="宋体"/>
                      <w:spacing w:val="6"/>
                      <w:sz w:val="21"/>
                      <w:szCs w:val="21"/>
                    </w:rPr>
                    <w:t>臭气浓度</w:t>
                  </w:r>
                  <w:r>
                    <w:rPr>
                      <w:rFonts w:hint="default" w:ascii="Times New Roman" w:hAnsi="Times New Roman" w:eastAsia="Times New Roman" w:cs="Times New Roman"/>
                      <w:position w:val="7"/>
                      <w:sz w:val="14"/>
                      <w:szCs w:val="14"/>
                    </w:rPr>
                    <w:t>1</w:t>
                  </w:r>
                </w:p>
              </w:tc>
              <w:tc>
                <w:tcPr>
                  <w:tcW w:w="2905" w:type="dxa"/>
                  <w:tcBorders>
                    <w:top w:val="single" w:color="000000" w:sz="4" w:space="0"/>
                    <w:left w:val="single" w:color="000000" w:sz="4" w:space="0"/>
                    <w:bottom w:val="single" w:color="000000" w:sz="4" w:space="0"/>
                    <w:right w:val="single" w:color="000000" w:sz="4" w:space="0"/>
                  </w:tcBorders>
                  <w:noWrap w:val="0"/>
                  <w:vAlign w:val="top"/>
                </w:tcPr>
                <w:p>
                  <w:pPr>
                    <w:pStyle w:val="15"/>
                    <w:spacing w:before="42" w:line="240" w:lineRule="auto"/>
                    <w:ind w:right="1"/>
                    <w:jc w:val="center"/>
                    <w:rPr>
                      <w:rFonts w:hint="eastAsia" w:ascii="Times New Roman" w:hAnsi="Times New Roman" w:eastAsia="宋体" w:cs="Times New Roman"/>
                      <w:sz w:val="21"/>
                      <w:szCs w:val="21"/>
                      <w:lang w:eastAsia="zh-CN"/>
                    </w:rPr>
                  </w:pPr>
                  <w:r>
                    <w:rPr>
                      <w:rFonts w:hint="default" w:ascii="Times New Roman" w:hAnsi="Times New Roman" w:eastAsia="Times New Roman" w:cs="Times New Roman"/>
                      <w:spacing w:val="4"/>
                      <w:sz w:val="21"/>
                      <w:szCs w:val="21"/>
                    </w:rPr>
                    <w:t>1000</w:t>
                  </w:r>
                  <w:r>
                    <w:rPr>
                      <w:rFonts w:hint="eastAsia" w:ascii="Times New Roman" w:hAnsi="Times New Roman" w:eastAsia="宋体" w:cs="Times New Roman"/>
                      <w:spacing w:val="4"/>
                      <w:sz w:val="21"/>
                      <w:szCs w:val="21"/>
                      <w:lang w:eastAsia="zh-CN"/>
                    </w:rPr>
                    <w:t>（</w:t>
                  </w:r>
                  <w:r>
                    <w:rPr>
                      <w:rFonts w:hint="default" w:ascii="宋体" w:hAnsi="宋体" w:eastAsia="宋体" w:cs="宋体"/>
                      <w:spacing w:val="4"/>
                      <w:sz w:val="21"/>
                      <w:szCs w:val="21"/>
                    </w:rPr>
                    <w:t>无量纲</w:t>
                  </w:r>
                  <w:r>
                    <w:rPr>
                      <w:rFonts w:hint="eastAsia" w:ascii="Times New Roman" w:hAnsi="Times New Roman" w:eastAsia="宋体" w:cs="Times New Roman"/>
                      <w:spacing w:val="4"/>
                      <w:sz w:val="21"/>
                      <w:szCs w:val="21"/>
                      <w:lang w:eastAsia="zh-CN"/>
                    </w:rPr>
                    <w:t>）</w:t>
                  </w:r>
                </w:p>
              </w:tc>
              <w:tc>
                <w:tcPr>
                  <w:tcW w:w="3764" w:type="dxa"/>
                  <w:tcBorders>
                    <w:top w:val="single" w:color="000000" w:sz="4" w:space="0"/>
                    <w:left w:val="single" w:color="000000" w:sz="4" w:space="0"/>
                    <w:bottom w:val="single" w:color="000000" w:sz="4" w:space="0"/>
                    <w:right w:val="nil"/>
                  </w:tcBorders>
                  <w:noWrap w:val="0"/>
                  <w:vAlign w:val="top"/>
                </w:tcPr>
                <w:p>
                  <w:pPr>
                    <w:pStyle w:val="15"/>
                    <w:spacing w:before="42" w:line="240" w:lineRule="auto"/>
                    <w:ind w:right="1"/>
                    <w:jc w:val="center"/>
                    <w:rPr>
                      <w:rFonts w:hint="eastAsia" w:ascii="Times New Roman" w:hAnsi="Times New Roman" w:eastAsia="宋体" w:cs="Times New Roman"/>
                      <w:sz w:val="21"/>
                      <w:szCs w:val="21"/>
                      <w:lang w:eastAsia="zh-CN"/>
                    </w:rPr>
                  </w:pPr>
                  <w:r>
                    <w:rPr>
                      <w:rFonts w:hint="default" w:ascii="Times New Roman" w:hAnsi="Times New Roman" w:eastAsia="Times New Roman" w:cs="Times New Roman"/>
                      <w:spacing w:val="4"/>
                      <w:sz w:val="21"/>
                      <w:szCs w:val="21"/>
                    </w:rPr>
                    <w:t>20</w:t>
                  </w:r>
                  <w:r>
                    <w:rPr>
                      <w:rFonts w:hint="eastAsia" w:ascii="Times New Roman" w:hAnsi="Times New Roman" w:eastAsia="宋体" w:cs="Times New Roman"/>
                      <w:spacing w:val="4"/>
                      <w:sz w:val="21"/>
                      <w:szCs w:val="21"/>
                      <w:lang w:eastAsia="zh-CN"/>
                    </w:rPr>
                    <w:t>（</w:t>
                  </w:r>
                  <w:r>
                    <w:rPr>
                      <w:rFonts w:hint="default" w:ascii="宋体" w:hAnsi="宋体" w:eastAsia="宋体" w:cs="宋体"/>
                      <w:spacing w:val="4"/>
                      <w:sz w:val="21"/>
                      <w:szCs w:val="21"/>
                    </w:rPr>
                    <w:t>无量纲</w:t>
                  </w:r>
                  <w:r>
                    <w:rPr>
                      <w:rFonts w:hint="eastAsia" w:ascii="Times New Roman" w:hAnsi="Times New Roman" w:eastAsia="宋体" w:cs="Times New Roman"/>
                      <w:spacing w:val="4"/>
                      <w:sz w:val="21"/>
                      <w:szCs w:val="21"/>
                      <w:lang w:eastAsia="zh-CN"/>
                    </w:rPr>
                    <w:t>）</w:t>
                  </w:r>
                </w:p>
              </w:tc>
            </w:tr>
            <w:tr>
              <w:tblPrEx>
                <w:tblCellMar>
                  <w:top w:w="0" w:type="dxa"/>
                  <w:left w:w="0" w:type="dxa"/>
                  <w:bottom w:w="0" w:type="dxa"/>
                  <w:right w:w="0" w:type="dxa"/>
                </w:tblCellMar>
              </w:tblPrEx>
              <w:trPr>
                <w:trHeight w:val="370" w:hRule="exact"/>
              </w:trPr>
              <w:tc>
                <w:tcPr>
                  <w:tcW w:w="8121" w:type="dxa"/>
                  <w:gridSpan w:val="3"/>
                  <w:tcBorders>
                    <w:top w:val="single" w:color="000000" w:sz="4" w:space="0"/>
                    <w:left w:val="nil"/>
                    <w:bottom w:val="single" w:color="000000" w:sz="12" w:space="0"/>
                    <w:right w:val="nil"/>
                  </w:tcBorders>
                  <w:noWrap w:val="0"/>
                  <w:vAlign w:val="top"/>
                </w:tcPr>
                <w:p>
                  <w:pPr>
                    <w:pStyle w:val="15"/>
                    <w:spacing w:before="42" w:line="240" w:lineRule="auto"/>
                    <w:ind w:right="1"/>
                    <w:jc w:val="both"/>
                    <w:rPr>
                      <w:rFonts w:hint="default" w:ascii="Times New Roman" w:hAnsi="Times New Roman" w:eastAsia="Times New Roman" w:cs="Times New Roman"/>
                      <w:spacing w:val="4"/>
                      <w:sz w:val="21"/>
                      <w:szCs w:val="21"/>
                    </w:rPr>
                  </w:pPr>
                  <w:r>
                    <w:rPr>
                      <w:rFonts w:hint="default" w:ascii="Times New Roman" w:hAnsi="Times New Roman" w:eastAsia="Times New Roman" w:cs="Times New Roman"/>
                      <w:spacing w:val="4"/>
                      <w:sz w:val="21"/>
                      <w:szCs w:val="21"/>
                    </w:rPr>
                    <w:t>注1：臭气浓度取一次最大监测值，单位为无量纲。</w:t>
                  </w:r>
                </w:p>
              </w:tc>
            </w:tr>
          </w:tbl>
          <w:p>
            <w:pPr>
              <w:autoSpaceDE w:val="0"/>
              <w:autoSpaceDN w:val="0"/>
              <w:adjustRightInd/>
              <w:snapToGrid/>
              <w:spacing w:after="0" w:line="336" w:lineRule="auto"/>
              <w:ind w:firstLine="480" w:firstLineChars="200"/>
              <w:jc w:val="both"/>
              <w:rPr>
                <w:rFonts w:ascii="Times New Roman" w:hAnsi="Times New Roman" w:eastAsia="宋体"/>
                <w:color w:val="auto"/>
                <w:sz w:val="24"/>
              </w:rPr>
            </w:pPr>
            <w:r>
              <w:rPr>
                <w:rFonts w:hint="eastAsia" w:ascii="Times New Roman" w:hAnsi="Times New Roman" w:eastAsia="宋体"/>
                <w:color w:val="auto"/>
                <w:sz w:val="24"/>
              </w:rPr>
              <w:t>企业厂区内非甲烷总烃无组织排放监控点浓度</w:t>
            </w:r>
            <w:r>
              <w:rPr>
                <w:rFonts w:ascii="Times New Roman" w:hAnsi="Times New Roman" w:eastAsia="宋体"/>
                <w:color w:val="auto"/>
                <w:sz w:val="24"/>
              </w:rPr>
              <w:t>执行《挥发性有机物无组织排放控制标准》（GB37822-2019）附录A中表A.1的特别排放限值，详见下表。</w:t>
            </w:r>
          </w:p>
          <w:p>
            <w:pPr>
              <w:pStyle w:val="14"/>
              <w:adjustRightInd/>
              <w:snapToGrid/>
              <w:spacing w:after="0" w:line="240" w:lineRule="auto"/>
              <w:rPr>
                <w:rFonts w:ascii="Times New Roman" w:hAnsi="Times New Roman" w:eastAsia="宋体"/>
                <w:bCs/>
                <w:color w:val="auto"/>
                <w:sz w:val="21"/>
                <w:szCs w:val="21"/>
              </w:rPr>
            </w:pPr>
          </w:p>
          <w:p>
            <w:pPr>
              <w:pStyle w:val="14"/>
              <w:adjustRightInd/>
              <w:snapToGrid/>
              <w:spacing w:after="0" w:line="240" w:lineRule="auto"/>
              <w:rPr>
                <w:rFonts w:ascii="Times New Roman" w:hAnsi="Times New Roman" w:eastAsia="宋体"/>
                <w:bCs/>
                <w:color w:val="auto"/>
                <w:sz w:val="21"/>
                <w:szCs w:val="21"/>
              </w:rPr>
            </w:pPr>
          </w:p>
          <w:p>
            <w:pPr>
              <w:pStyle w:val="14"/>
              <w:adjustRightInd/>
              <w:snapToGrid/>
              <w:spacing w:after="0" w:line="240" w:lineRule="auto"/>
              <w:rPr>
                <w:rFonts w:ascii="Times New Roman" w:hAnsi="Times New Roman" w:eastAsia="宋体"/>
                <w:bCs/>
                <w:color w:val="auto"/>
                <w:sz w:val="21"/>
                <w:szCs w:val="21"/>
              </w:rPr>
            </w:pPr>
            <w:r>
              <w:rPr>
                <w:rFonts w:ascii="Times New Roman" w:hAnsi="Times New Roman" w:eastAsia="宋体"/>
                <w:bCs/>
                <w:color w:val="auto"/>
                <w:sz w:val="21"/>
                <w:szCs w:val="21"/>
              </w:rPr>
              <w:t>表1-</w:t>
            </w:r>
            <w:r>
              <w:rPr>
                <w:rFonts w:hint="eastAsia" w:ascii="Times New Roman" w:hAnsi="Times New Roman" w:eastAsia="宋体"/>
                <w:bCs/>
                <w:color w:val="auto"/>
                <w:sz w:val="21"/>
                <w:szCs w:val="21"/>
              </w:rPr>
              <w:t>2《挥发性有机物无组织排放控制标准》</w:t>
            </w:r>
            <w:r>
              <w:rPr>
                <w:rFonts w:ascii="Times New Roman" w:hAnsi="Times New Roman" w:eastAsia="宋体"/>
                <w:bCs/>
                <w:color w:val="auto"/>
                <w:sz w:val="21"/>
                <w:szCs w:val="21"/>
              </w:rPr>
              <w:t>单位mg/m</w:t>
            </w:r>
            <w:r>
              <w:rPr>
                <w:rFonts w:ascii="Times New Roman" w:hAnsi="Times New Roman" w:eastAsia="宋体"/>
                <w:bCs/>
                <w:color w:val="auto"/>
                <w:sz w:val="21"/>
                <w:szCs w:val="21"/>
                <w:vertAlign w:val="superscript"/>
              </w:rPr>
              <w:t>3</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611"/>
              <w:gridCol w:w="1369"/>
              <w:gridCol w:w="2854"/>
              <w:gridCol w:w="2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23" w:hRule="atLeast"/>
                <w:jc w:val="center"/>
              </w:trPr>
              <w:tc>
                <w:tcPr>
                  <w:tcW w:w="1611" w:type="dxa"/>
                  <w:noWrap w:val="0"/>
                  <w:vAlign w:val="center"/>
                </w:tcPr>
                <w:p>
                  <w:pPr>
                    <w:pStyle w:val="16"/>
                    <w:adjustRightInd/>
                    <w:snapToGrid/>
                    <w:spacing w:after="0" w:line="240" w:lineRule="auto"/>
                    <w:rPr>
                      <w:rFonts w:eastAsia="宋体"/>
                      <w:color w:val="auto"/>
                      <w:sz w:val="21"/>
                    </w:rPr>
                  </w:pPr>
                  <w:r>
                    <w:rPr>
                      <w:rFonts w:eastAsia="宋体"/>
                      <w:color w:val="auto"/>
                      <w:sz w:val="21"/>
                    </w:rPr>
                    <w:t>污染物项目</w:t>
                  </w:r>
                </w:p>
              </w:tc>
              <w:tc>
                <w:tcPr>
                  <w:tcW w:w="1369" w:type="dxa"/>
                  <w:noWrap w:val="0"/>
                  <w:vAlign w:val="center"/>
                </w:tcPr>
                <w:p>
                  <w:pPr>
                    <w:pStyle w:val="16"/>
                    <w:adjustRightInd/>
                    <w:snapToGrid/>
                    <w:spacing w:after="0" w:line="240" w:lineRule="auto"/>
                    <w:rPr>
                      <w:rFonts w:eastAsia="宋体"/>
                      <w:color w:val="auto"/>
                      <w:sz w:val="21"/>
                    </w:rPr>
                  </w:pPr>
                  <w:r>
                    <w:rPr>
                      <w:rFonts w:eastAsia="宋体"/>
                      <w:color w:val="auto"/>
                      <w:sz w:val="21"/>
                    </w:rPr>
                    <w:t>特别限值</w:t>
                  </w:r>
                </w:p>
              </w:tc>
              <w:tc>
                <w:tcPr>
                  <w:tcW w:w="2854" w:type="dxa"/>
                  <w:noWrap w:val="0"/>
                  <w:vAlign w:val="center"/>
                </w:tcPr>
                <w:p>
                  <w:pPr>
                    <w:pStyle w:val="16"/>
                    <w:adjustRightInd/>
                    <w:snapToGrid/>
                    <w:spacing w:after="0" w:line="240" w:lineRule="auto"/>
                    <w:rPr>
                      <w:rFonts w:eastAsia="宋体"/>
                      <w:color w:val="auto"/>
                      <w:sz w:val="21"/>
                    </w:rPr>
                  </w:pPr>
                  <w:r>
                    <w:rPr>
                      <w:rFonts w:eastAsia="宋体"/>
                      <w:color w:val="auto"/>
                      <w:sz w:val="21"/>
                    </w:rPr>
                    <w:t>限值含义</w:t>
                  </w:r>
                </w:p>
              </w:tc>
              <w:tc>
                <w:tcPr>
                  <w:tcW w:w="2216" w:type="dxa"/>
                  <w:noWrap w:val="0"/>
                  <w:vAlign w:val="center"/>
                </w:tcPr>
                <w:p>
                  <w:pPr>
                    <w:pStyle w:val="16"/>
                    <w:adjustRightInd/>
                    <w:snapToGrid/>
                    <w:spacing w:after="0" w:line="240" w:lineRule="auto"/>
                    <w:rPr>
                      <w:rFonts w:eastAsia="宋体"/>
                      <w:color w:val="auto"/>
                      <w:sz w:val="21"/>
                    </w:rPr>
                  </w:pPr>
                  <w:r>
                    <w:rPr>
                      <w:rFonts w:eastAsia="宋体"/>
                      <w:color w:val="auto"/>
                      <w:sz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23" w:hRule="atLeast"/>
                <w:jc w:val="center"/>
              </w:trPr>
              <w:tc>
                <w:tcPr>
                  <w:tcW w:w="1611" w:type="dxa"/>
                  <w:vMerge w:val="restart"/>
                  <w:noWrap w:val="0"/>
                  <w:vAlign w:val="center"/>
                </w:tcPr>
                <w:p>
                  <w:pPr>
                    <w:pStyle w:val="16"/>
                    <w:adjustRightInd/>
                    <w:snapToGrid/>
                    <w:spacing w:after="0" w:line="240" w:lineRule="auto"/>
                    <w:rPr>
                      <w:rFonts w:eastAsia="宋体"/>
                      <w:color w:val="auto"/>
                      <w:sz w:val="21"/>
                    </w:rPr>
                  </w:pPr>
                  <w:r>
                    <w:rPr>
                      <w:rFonts w:eastAsia="宋体"/>
                      <w:color w:val="auto"/>
                      <w:sz w:val="21"/>
                    </w:rPr>
                    <w:t>NMHC</w:t>
                  </w:r>
                </w:p>
              </w:tc>
              <w:tc>
                <w:tcPr>
                  <w:tcW w:w="1369" w:type="dxa"/>
                  <w:noWrap w:val="0"/>
                  <w:vAlign w:val="center"/>
                </w:tcPr>
                <w:p>
                  <w:pPr>
                    <w:pStyle w:val="16"/>
                    <w:adjustRightInd/>
                    <w:snapToGrid/>
                    <w:spacing w:after="0" w:line="240" w:lineRule="auto"/>
                    <w:rPr>
                      <w:rFonts w:eastAsia="宋体"/>
                      <w:color w:val="auto"/>
                      <w:sz w:val="21"/>
                    </w:rPr>
                  </w:pPr>
                  <w:r>
                    <w:rPr>
                      <w:rFonts w:eastAsia="宋体"/>
                      <w:color w:val="auto"/>
                      <w:sz w:val="21"/>
                    </w:rPr>
                    <w:t>6</w:t>
                  </w:r>
                </w:p>
              </w:tc>
              <w:tc>
                <w:tcPr>
                  <w:tcW w:w="2854" w:type="dxa"/>
                  <w:noWrap w:val="0"/>
                  <w:vAlign w:val="center"/>
                </w:tcPr>
                <w:p>
                  <w:pPr>
                    <w:pStyle w:val="16"/>
                    <w:adjustRightInd/>
                    <w:snapToGrid/>
                    <w:spacing w:after="0" w:line="240" w:lineRule="auto"/>
                    <w:rPr>
                      <w:rFonts w:eastAsia="宋体"/>
                      <w:color w:val="auto"/>
                      <w:sz w:val="21"/>
                    </w:rPr>
                  </w:pPr>
                  <w:r>
                    <w:rPr>
                      <w:rFonts w:eastAsia="宋体"/>
                      <w:color w:val="auto"/>
                      <w:sz w:val="21"/>
                    </w:rPr>
                    <w:t>监控点处1h平均浓度值</w:t>
                  </w:r>
                </w:p>
              </w:tc>
              <w:tc>
                <w:tcPr>
                  <w:tcW w:w="2216" w:type="dxa"/>
                  <w:vMerge w:val="restart"/>
                  <w:noWrap w:val="0"/>
                  <w:vAlign w:val="center"/>
                </w:tcPr>
                <w:p>
                  <w:pPr>
                    <w:pStyle w:val="16"/>
                    <w:adjustRightInd/>
                    <w:snapToGrid/>
                    <w:spacing w:after="0" w:line="240" w:lineRule="auto"/>
                    <w:rPr>
                      <w:rFonts w:eastAsia="宋体"/>
                      <w:color w:val="auto"/>
                      <w:sz w:val="21"/>
                    </w:rPr>
                  </w:pPr>
                  <w:r>
                    <w:rPr>
                      <w:rFonts w:eastAsia="宋体"/>
                      <w:color w:val="auto"/>
                      <w:sz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23" w:hRule="atLeast"/>
                <w:jc w:val="center"/>
              </w:trPr>
              <w:tc>
                <w:tcPr>
                  <w:tcW w:w="1611" w:type="dxa"/>
                  <w:vMerge w:val="continue"/>
                  <w:noWrap w:val="0"/>
                  <w:vAlign w:val="center"/>
                </w:tcPr>
                <w:p>
                  <w:pPr>
                    <w:pStyle w:val="16"/>
                    <w:adjustRightInd/>
                    <w:snapToGrid/>
                    <w:spacing w:after="0" w:line="240" w:lineRule="auto"/>
                    <w:rPr>
                      <w:rFonts w:eastAsia="宋体"/>
                      <w:color w:val="auto"/>
                      <w:sz w:val="21"/>
                    </w:rPr>
                  </w:pPr>
                </w:p>
              </w:tc>
              <w:tc>
                <w:tcPr>
                  <w:tcW w:w="1369" w:type="dxa"/>
                  <w:noWrap w:val="0"/>
                  <w:vAlign w:val="center"/>
                </w:tcPr>
                <w:p>
                  <w:pPr>
                    <w:pStyle w:val="16"/>
                    <w:adjustRightInd/>
                    <w:snapToGrid/>
                    <w:spacing w:after="0" w:line="240" w:lineRule="auto"/>
                    <w:rPr>
                      <w:rFonts w:eastAsia="宋体"/>
                      <w:color w:val="auto"/>
                      <w:sz w:val="21"/>
                    </w:rPr>
                  </w:pPr>
                  <w:r>
                    <w:rPr>
                      <w:rFonts w:eastAsia="宋体"/>
                      <w:color w:val="auto"/>
                      <w:sz w:val="21"/>
                    </w:rPr>
                    <w:t>20</w:t>
                  </w:r>
                </w:p>
              </w:tc>
              <w:tc>
                <w:tcPr>
                  <w:tcW w:w="2854" w:type="dxa"/>
                  <w:noWrap w:val="0"/>
                  <w:vAlign w:val="center"/>
                </w:tcPr>
                <w:p>
                  <w:pPr>
                    <w:pStyle w:val="16"/>
                    <w:adjustRightInd/>
                    <w:snapToGrid/>
                    <w:spacing w:after="0" w:line="240" w:lineRule="auto"/>
                    <w:rPr>
                      <w:rFonts w:eastAsia="宋体"/>
                      <w:color w:val="auto"/>
                      <w:sz w:val="21"/>
                    </w:rPr>
                  </w:pPr>
                  <w:r>
                    <w:rPr>
                      <w:rFonts w:eastAsia="宋体"/>
                      <w:color w:val="auto"/>
                      <w:sz w:val="21"/>
                    </w:rPr>
                    <w:t>监控点处任意一次浓度值</w:t>
                  </w:r>
                </w:p>
              </w:tc>
              <w:tc>
                <w:tcPr>
                  <w:tcW w:w="2216" w:type="dxa"/>
                  <w:vMerge w:val="continue"/>
                  <w:noWrap w:val="0"/>
                  <w:vAlign w:val="center"/>
                </w:tcPr>
                <w:p>
                  <w:pPr>
                    <w:pStyle w:val="16"/>
                    <w:adjustRightInd/>
                    <w:snapToGrid/>
                    <w:spacing w:after="0" w:line="240" w:lineRule="auto"/>
                    <w:rPr>
                      <w:rFonts w:eastAsia="宋体"/>
                      <w:color w:val="auto"/>
                      <w:sz w:val="21"/>
                    </w:rPr>
                  </w:pPr>
                </w:p>
              </w:tc>
            </w:tr>
          </w:tbl>
          <w:p>
            <w:pPr>
              <w:adjustRightInd/>
              <w:snapToGrid/>
              <w:spacing w:after="0" w:line="336" w:lineRule="auto"/>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根据《工业炉窑大气污染综合治理方案》的通知（环大气[2019]56号）要求，天然气燃烧废气中颗粒物、二氧化硫、氮氧化物排放限值分别不高于</w:t>
            </w:r>
            <w:r>
              <w:rPr>
                <w:rFonts w:hint="default" w:ascii="Times New Roman" w:hAnsi="Times New Roman" w:eastAsia="宋体" w:cs="Times New Roman"/>
                <w:color w:val="auto"/>
                <w:sz w:val="24"/>
                <w:szCs w:val="24"/>
              </w:rPr>
              <w:t>30mg/m³、200mg/m³、300mg/m³</w:t>
            </w:r>
            <w:r>
              <w:rPr>
                <w:rFonts w:hint="eastAsia" w:ascii="Times New Roman" w:hAnsi="Times New Roman" w:eastAsia="宋体" w:cs="Times New Roman"/>
                <w:color w:val="auto"/>
                <w:sz w:val="24"/>
                <w:szCs w:val="24"/>
              </w:rPr>
              <w:t>进行日常管控。</w:t>
            </w:r>
          </w:p>
          <w:p>
            <w:pPr>
              <w:adjustRightInd/>
              <w:snapToGrid/>
              <w:spacing w:after="0" w:line="336" w:lineRule="auto"/>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酸洗废气（硫酸雾、氯化氢）执行《大气污染物综合排放标准》（GB16297-471996）表2中的二级标准；气枪吹尘废气排放执行《大气污染物综合排放标准》（GB16297-1996）表2中的颗粒物无组织排放限值要求。</w:t>
            </w:r>
          </w:p>
          <w:p>
            <w:pPr>
              <w:pStyle w:val="14"/>
              <w:adjustRightInd/>
              <w:snapToGrid/>
              <w:spacing w:after="0" w:line="240" w:lineRule="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 xml:space="preserve">1-3 </w:t>
            </w:r>
            <w:r>
              <w:rPr>
                <w:rFonts w:hint="eastAsia" w:ascii="Times New Roman" w:hAnsi="Times New Roman" w:eastAsia="宋体" w:cs="Times New Roman"/>
                <w:bCs/>
                <w:color w:val="auto"/>
                <w:sz w:val="21"/>
                <w:szCs w:val="21"/>
              </w:rPr>
              <w:t>《大气污染物综合排放标准》（GB16297-1996）</w:t>
            </w:r>
          </w:p>
          <w:tbl>
            <w:tblPr>
              <w:tblStyle w:val="11"/>
              <w:tblW w:w="0" w:type="auto"/>
              <w:jc w:val="center"/>
              <w:tblBorders>
                <w:top w:val="single" w:color="auto" w:sz="12"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0" w:type="dxa"/>
                <w:bottom w:w="0" w:type="dxa"/>
                <w:right w:w="0" w:type="dxa"/>
              </w:tblCellMar>
            </w:tblPr>
            <w:tblGrid>
              <w:gridCol w:w="1347"/>
              <w:gridCol w:w="1416"/>
              <w:gridCol w:w="1173"/>
              <w:gridCol w:w="1167"/>
              <w:gridCol w:w="2309"/>
              <w:gridCol w:w="641"/>
            </w:tblGrid>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340" w:hRule="atLeast"/>
                <w:jc w:val="center"/>
              </w:trPr>
              <w:tc>
                <w:tcPr>
                  <w:tcW w:w="1347" w:type="dxa"/>
                  <w:vMerge w:val="restart"/>
                  <w:tcBorders>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指标</w:t>
                  </w:r>
                </w:p>
              </w:tc>
              <w:tc>
                <w:tcPr>
                  <w:tcW w:w="1416" w:type="dxa"/>
                  <w:vMerge w:val="restart"/>
                  <w:tcBorders>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最高允许排放浓度（mg/m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c>
                <w:tcPr>
                  <w:tcW w:w="2340" w:type="dxa"/>
                  <w:gridSpan w:val="2"/>
                  <w:tcBorders>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最高允许排放速率（kg/h）</w:t>
                  </w:r>
                </w:p>
              </w:tc>
              <w:tc>
                <w:tcPr>
                  <w:tcW w:w="2950" w:type="dxa"/>
                  <w:gridSpan w:val="2"/>
                  <w:tcBorders>
                    <w:bottom w:val="single" w:color="auto" w:sz="4" w:space="0"/>
                  </w:tcBorders>
                  <w:noWrap w:val="0"/>
                  <w:vAlign w:val="center"/>
                </w:tcPr>
                <w:p>
                  <w:pPr>
                    <w:pStyle w:val="16"/>
                    <w:adjustRightInd/>
                    <w:snapToGrid/>
                    <w:spacing w:after="0" w:line="240" w:lineRule="auto"/>
                    <w:rPr>
                      <w:rFonts w:eastAsia="宋体"/>
                      <w:color w:val="auto"/>
                      <w:sz w:val="21"/>
                    </w:rPr>
                  </w:pPr>
                  <w:r>
                    <w:rPr>
                      <w:rFonts w:eastAsia="宋体"/>
                      <w:color w:val="auto"/>
                      <w:kern w:val="0"/>
                      <w:sz w:val="21"/>
                    </w:rPr>
                    <w:t>无组织排放监控</w:t>
                  </w:r>
                  <w:r>
                    <w:rPr>
                      <w:rFonts w:eastAsia="宋体"/>
                      <w:color w:val="auto"/>
                      <w:sz w:val="21"/>
                    </w:rPr>
                    <w:t>浓度限值</w:t>
                  </w:r>
                  <w:r>
                    <w:rPr>
                      <w:rFonts w:eastAsia="宋体"/>
                      <w:color w:val="auto"/>
                      <w:kern w:val="2"/>
                      <w:sz w:val="21"/>
                    </w:rPr>
                    <w:t>（mg/m</w:t>
                  </w:r>
                  <w:r>
                    <w:rPr>
                      <w:rFonts w:eastAsia="宋体"/>
                      <w:color w:val="auto"/>
                      <w:kern w:val="2"/>
                      <w:sz w:val="21"/>
                      <w:vertAlign w:val="superscript"/>
                    </w:rPr>
                    <w:t>3</w:t>
                  </w:r>
                  <w:r>
                    <w:rPr>
                      <w:rFonts w:eastAsia="宋体"/>
                      <w:color w:val="auto"/>
                      <w:kern w:val="2"/>
                      <w:sz w:val="21"/>
                    </w:rPr>
                    <w:t>）</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340" w:hRule="atLeast"/>
                <w:jc w:val="center"/>
              </w:trPr>
              <w:tc>
                <w:tcPr>
                  <w:tcW w:w="1347"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rPr>
                  </w:pPr>
                </w:p>
              </w:tc>
              <w:tc>
                <w:tcPr>
                  <w:tcW w:w="1416"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rPr>
                  </w:pPr>
                </w:p>
              </w:tc>
              <w:tc>
                <w:tcPr>
                  <w:tcW w:w="1173"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排气筒m</w:t>
                  </w:r>
                </w:p>
              </w:tc>
              <w:tc>
                <w:tcPr>
                  <w:tcW w:w="1167"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二级</w:t>
                  </w:r>
                </w:p>
              </w:tc>
              <w:tc>
                <w:tcPr>
                  <w:tcW w:w="2309"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监控点</w:t>
                  </w:r>
                </w:p>
              </w:tc>
              <w:tc>
                <w:tcPr>
                  <w:tcW w:w="641"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浓度</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340" w:hRule="atLeast"/>
                <w:jc w:val="center"/>
              </w:trPr>
              <w:tc>
                <w:tcPr>
                  <w:tcW w:w="1347"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颗粒物</w:t>
                  </w:r>
                </w:p>
              </w:tc>
              <w:tc>
                <w:tcPr>
                  <w:tcW w:w="1416"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120</w:t>
                  </w:r>
                </w:p>
              </w:tc>
              <w:tc>
                <w:tcPr>
                  <w:tcW w:w="1173"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15</w:t>
                  </w:r>
                </w:p>
              </w:tc>
              <w:tc>
                <w:tcPr>
                  <w:tcW w:w="1167"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3.5</w:t>
                  </w:r>
                </w:p>
              </w:tc>
              <w:tc>
                <w:tcPr>
                  <w:tcW w:w="2309" w:type="dxa"/>
                  <w:vMerge w:val="restart"/>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周界外浓度最高点</w:t>
                  </w:r>
                </w:p>
              </w:tc>
              <w:tc>
                <w:tcPr>
                  <w:tcW w:w="641" w:type="dxa"/>
                  <w:tcBorders>
                    <w:top w:val="single" w:color="auto" w:sz="4" w:space="0"/>
                    <w:bottom w:val="single" w:color="auto" w:sz="4"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1.0</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340" w:hRule="atLeast"/>
                <w:jc w:val="center"/>
              </w:trPr>
              <w:tc>
                <w:tcPr>
                  <w:tcW w:w="1347" w:type="dxa"/>
                  <w:tcBorders>
                    <w:top w:val="single" w:color="auto" w:sz="4" w:space="0"/>
                    <w:bottom w:val="single" w:color="auto" w:sz="4" w:space="0"/>
                  </w:tcBorders>
                  <w:noWrap w:val="0"/>
                  <w:vAlign w:val="center"/>
                </w:tcPr>
                <w:p>
                  <w:pPr>
                    <w:adjustRightInd/>
                    <w:snapToGrid/>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硫酸雾</w:t>
                  </w:r>
                </w:p>
              </w:tc>
              <w:tc>
                <w:tcPr>
                  <w:tcW w:w="1416" w:type="dxa"/>
                  <w:tcBorders>
                    <w:top w:val="single" w:color="auto" w:sz="4" w:space="0"/>
                    <w:bottom w:val="single" w:color="auto" w:sz="4"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1173" w:type="dxa"/>
                  <w:tcBorders>
                    <w:top w:val="single" w:color="auto" w:sz="4" w:space="0"/>
                    <w:bottom w:val="single" w:color="auto" w:sz="4"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1167" w:type="dxa"/>
                  <w:tcBorders>
                    <w:top w:val="single" w:color="auto" w:sz="4" w:space="0"/>
                    <w:bottom w:val="single" w:color="auto" w:sz="4"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2309" w:type="dxa"/>
                  <w:vMerge w:val="continue"/>
                  <w:noWrap w:val="0"/>
                  <w:vAlign w:val="center"/>
                </w:tcPr>
                <w:p>
                  <w:pPr>
                    <w:adjustRightInd/>
                    <w:snapToGrid/>
                    <w:spacing w:after="0"/>
                    <w:jc w:val="center"/>
                    <w:rPr>
                      <w:rFonts w:ascii="Times New Roman" w:hAnsi="Times New Roman" w:eastAsia="宋体"/>
                      <w:color w:val="auto"/>
                      <w:sz w:val="21"/>
                      <w:szCs w:val="21"/>
                    </w:rPr>
                  </w:pPr>
                </w:p>
              </w:tc>
              <w:tc>
                <w:tcPr>
                  <w:tcW w:w="641" w:type="dxa"/>
                  <w:tcBorders>
                    <w:top w:val="single" w:color="auto" w:sz="4" w:space="0"/>
                    <w:bottom w:val="single" w:color="auto" w:sz="4"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0" w:type="dxa"/>
                  <w:bottom w:w="0" w:type="dxa"/>
                  <w:right w:w="0" w:type="dxa"/>
                </w:tblCellMar>
              </w:tblPrEx>
              <w:trPr>
                <w:trHeight w:val="340" w:hRule="atLeast"/>
                <w:jc w:val="center"/>
              </w:trPr>
              <w:tc>
                <w:tcPr>
                  <w:tcW w:w="1347" w:type="dxa"/>
                  <w:tcBorders>
                    <w:top w:val="single" w:color="auto" w:sz="4" w:space="0"/>
                    <w:bottom w:val="single" w:color="auto" w:sz="12" w:space="0"/>
                  </w:tcBorders>
                  <w:noWrap w:val="0"/>
                  <w:vAlign w:val="center"/>
                </w:tcPr>
                <w:p>
                  <w:pPr>
                    <w:adjustRightInd/>
                    <w:snapToGrid/>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氯化氢</w:t>
                  </w:r>
                </w:p>
              </w:tc>
              <w:tc>
                <w:tcPr>
                  <w:tcW w:w="1416" w:type="dxa"/>
                  <w:tcBorders>
                    <w:top w:val="single" w:color="auto" w:sz="4" w:space="0"/>
                    <w:bottom w:val="single" w:color="auto" w:sz="12"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100</w:t>
                  </w:r>
                </w:p>
              </w:tc>
              <w:tc>
                <w:tcPr>
                  <w:tcW w:w="1173" w:type="dxa"/>
                  <w:tcBorders>
                    <w:top w:val="single" w:color="auto" w:sz="4" w:space="0"/>
                    <w:bottom w:val="single" w:color="auto" w:sz="12" w:space="0"/>
                  </w:tcBorders>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15</w:t>
                  </w:r>
                </w:p>
              </w:tc>
              <w:tc>
                <w:tcPr>
                  <w:tcW w:w="1167" w:type="dxa"/>
                  <w:tcBorders>
                    <w:top w:val="single" w:color="auto" w:sz="4" w:space="0"/>
                    <w:bottom w:val="single" w:color="auto" w:sz="12"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0.26</w:t>
                  </w:r>
                </w:p>
              </w:tc>
              <w:tc>
                <w:tcPr>
                  <w:tcW w:w="2309" w:type="dxa"/>
                  <w:vMerge w:val="continue"/>
                  <w:tcBorders>
                    <w:top w:val="single" w:color="auto" w:sz="4" w:space="0"/>
                    <w:bottom w:val="single" w:color="auto" w:sz="12" w:space="0"/>
                  </w:tcBorders>
                  <w:noWrap w:val="0"/>
                  <w:vAlign w:val="center"/>
                </w:tcPr>
                <w:p>
                  <w:pPr>
                    <w:adjustRightInd/>
                    <w:snapToGrid/>
                    <w:spacing w:after="0"/>
                    <w:jc w:val="center"/>
                    <w:rPr>
                      <w:rFonts w:ascii="Times New Roman" w:hAnsi="Times New Roman" w:eastAsia="宋体"/>
                      <w:color w:val="auto"/>
                      <w:sz w:val="21"/>
                      <w:szCs w:val="21"/>
                    </w:rPr>
                  </w:pPr>
                </w:p>
              </w:tc>
              <w:tc>
                <w:tcPr>
                  <w:tcW w:w="641" w:type="dxa"/>
                  <w:tcBorders>
                    <w:top w:val="single" w:color="auto" w:sz="4" w:space="0"/>
                    <w:bottom w:val="single" w:color="auto" w:sz="12" w:space="0"/>
                  </w:tcBorders>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w:t>
                  </w:r>
                </w:p>
              </w:tc>
            </w:tr>
          </w:tbl>
          <w:p>
            <w:pPr>
              <w:adjustRightInd/>
              <w:snapToGrid/>
              <w:spacing w:after="0" w:line="336"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w:t>
            </w:r>
            <w:r>
              <w:rPr>
                <w:rFonts w:ascii="Times New Roman" w:hAnsi="Times New Roman" w:eastAsia="宋体"/>
                <w:b/>
                <w:bCs/>
                <w:color w:val="auto"/>
                <w:sz w:val="24"/>
                <w:szCs w:val="24"/>
              </w:rPr>
              <w:t>废水</w:t>
            </w:r>
          </w:p>
          <w:p>
            <w:pPr>
              <w:adjustRightInd/>
              <w:snapToGrid/>
              <w:spacing w:after="0" w:line="336" w:lineRule="auto"/>
              <w:ind w:firstLine="480" w:firstLineChars="200"/>
              <w:jc w:val="both"/>
              <w:rPr>
                <w:rFonts w:ascii="Times New Roman" w:hAnsi="Times New Roman" w:eastAsia="宋体"/>
                <w:color w:val="auto"/>
                <w:sz w:val="24"/>
                <w:szCs w:val="24"/>
              </w:rPr>
            </w:pPr>
            <w:r>
              <w:rPr>
                <w:rFonts w:hint="eastAsia" w:ascii="Times New Roman" w:hAnsi="Times New Roman" w:eastAsia="宋体"/>
                <w:color w:val="auto"/>
                <w:sz w:val="24"/>
                <w:szCs w:val="24"/>
              </w:rPr>
              <w:t>本项目生产过程无新增生活</w:t>
            </w:r>
            <w:r>
              <w:rPr>
                <w:rFonts w:hint="eastAsia" w:ascii="Times New Roman" w:hAnsi="Times New Roman" w:eastAsia="宋体"/>
                <w:color w:val="auto"/>
                <w:sz w:val="24"/>
                <w:szCs w:val="24"/>
                <w:lang w:val="en-US" w:eastAsia="zh-CN"/>
              </w:rPr>
              <w:t>污水</w:t>
            </w:r>
            <w:r>
              <w:rPr>
                <w:rFonts w:hint="eastAsia" w:ascii="Times New Roman" w:hAnsi="Times New Roman" w:eastAsia="宋体"/>
                <w:color w:val="auto"/>
                <w:sz w:val="24"/>
                <w:szCs w:val="24"/>
              </w:rPr>
              <w:t>产生，纳管后，新增生产废水经污水处理站处理，达《污水综合排放标准》（GB8978-1996）三级标准（其中氨氮、总磷排放标准执行《工业企业废水氮、磷污染物排放限值》（DB33/887-2013），总铁排放执行浙江省地方标准《酸洗废水排放总铁浓度限值》（DB33/844-2011）二级标准；总氮执行《污水排入城镇下水道水质标准》（GB/T31962-2015）B级标准）后纳入</w:t>
            </w:r>
            <w:r>
              <w:rPr>
                <w:rFonts w:hint="eastAsia" w:ascii="Times New Roman" w:hAnsi="Times New Roman" w:eastAsia="宋体"/>
                <w:color w:val="auto"/>
                <w:sz w:val="24"/>
                <w:szCs w:val="24"/>
                <w:lang w:val="en-US" w:eastAsia="zh-CN"/>
              </w:rPr>
              <w:t>园区</w:t>
            </w:r>
            <w:r>
              <w:rPr>
                <w:rFonts w:hint="eastAsia" w:ascii="Times New Roman" w:hAnsi="Times New Roman" w:eastAsia="宋体"/>
                <w:color w:val="auto"/>
                <w:sz w:val="24"/>
                <w:szCs w:val="24"/>
              </w:rPr>
              <w:t>污水管网，经栎社净化水厂进行深度处理，尾水排入奉化江，栎社净化水厂化学需氧量、氨氮达到《城镇污水处理厂主要水污染物排放标准》（DB33/2169-2018）现有城镇污水处理厂排放限值，其余达到《城镇污水处理厂污染物排放标准》GB18918中一级A标准。具体指标见表</w:t>
            </w:r>
            <w:r>
              <w:rPr>
                <w:rFonts w:hint="eastAsia" w:ascii="Times New Roman" w:hAnsi="Times New Roman" w:eastAsia="宋体"/>
                <w:color w:val="auto"/>
                <w:sz w:val="24"/>
                <w:szCs w:val="24"/>
                <w:lang w:val="en-US" w:eastAsia="zh-CN"/>
              </w:rPr>
              <w:t>1-4</w:t>
            </w:r>
            <w:r>
              <w:rPr>
                <w:rFonts w:hint="eastAsia" w:ascii="Times New Roman" w:hAnsi="Times New Roman" w:eastAsia="宋体"/>
                <w:color w:val="auto"/>
                <w:sz w:val="24"/>
                <w:szCs w:val="24"/>
              </w:rPr>
              <w:t>和表</w:t>
            </w:r>
            <w:r>
              <w:rPr>
                <w:rFonts w:hint="eastAsia" w:ascii="Times New Roman" w:hAnsi="Times New Roman" w:eastAsia="宋体"/>
                <w:color w:val="auto"/>
                <w:sz w:val="24"/>
                <w:szCs w:val="24"/>
                <w:lang w:val="en-US" w:eastAsia="zh-CN"/>
              </w:rPr>
              <w:t>1-5</w:t>
            </w:r>
            <w:r>
              <w:rPr>
                <w:rFonts w:hint="eastAsia" w:ascii="Times New Roman" w:hAnsi="Times New Roman" w:eastAsia="宋体"/>
                <w:color w:val="auto"/>
                <w:sz w:val="24"/>
                <w:szCs w:val="24"/>
              </w:rPr>
              <w:t>。</w:t>
            </w:r>
          </w:p>
          <w:p>
            <w:pPr>
              <w:tabs>
                <w:tab w:val="left" w:pos="2145"/>
              </w:tabs>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ascii="Times New Roman" w:hAnsi="Times New Roman" w:eastAsia="宋体"/>
                <w:b/>
                <w:bCs/>
                <w:color w:val="auto"/>
                <w:sz w:val="21"/>
                <w:szCs w:val="21"/>
                <w:lang w:val="en-US" w:eastAsia="zh-CN"/>
              </w:rPr>
              <w:t xml:space="preserve">4 </w:t>
            </w:r>
            <w:r>
              <w:rPr>
                <w:rFonts w:hint="eastAsia" w:ascii="Times New Roman" w:hAnsi="Times New Roman" w:eastAsia="宋体"/>
                <w:b/>
                <w:bCs/>
                <w:color w:val="auto"/>
                <w:sz w:val="21"/>
                <w:szCs w:val="21"/>
              </w:rPr>
              <w:t>污水纳管排放标准</w:t>
            </w:r>
            <w:r>
              <w:rPr>
                <w:rFonts w:ascii="Times New Roman" w:hAnsi="Times New Roman" w:eastAsia="宋体"/>
                <w:b/>
                <w:bCs/>
                <w:color w:val="auto"/>
                <w:sz w:val="21"/>
                <w:szCs w:val="21"/>
              </w:rPr>
              <w:t>单位：mg/L（除pH外）</w:t>
            </w:r>
          </w:p>
          <w:tbl>
            <w:tblPr>
              <w:tblStyle w:val="1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2009"/>
              <w:gridCol w:w="1955"/>
              <w:gridCol w:w="41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256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2567" w:type="pct"/>
                  <w:vMerge w:val="restar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GB8978-1996</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三级</w:t>
                  </w:r>
                </w:p>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2567" w:type="pct"/>
                  <w:vMerge w:val="continue"/>
                  <w:tcBorders>
                    <w:tl2br w:val="nil"/>
                    <w:tr2bl w:val="nil"/>
                  </w:tcBorders>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BOD5</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2567" w:type="pct"/>
                  <w:vMerge w:val="continue"/>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2567" w:type="pct"/>
                  <w:vMerge w:val="continue"/>
                  <w:tcBorders>
                    <w:tl2br w:val="nil"/>
                    <w:tr2bl w:val="nil"/>
                  </w:tcBorders>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2567" w:type="pct"/>
                  <w:vMerge w:val="continue"/>
                  <w:tcBorders>
                    <w:tl2br w:val="nil"/>
                    <w:tr2bl w:val="nil"/>
                  </w:tcBorders>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LAS</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2567" w:type="pct"/>
                  <w:vMerge w:val="continue"/>
                  <w:tcBorders>
                    <w:tl2br w:val="nil"/>
                    <w:tr2bl w:val="nil"/>
                  </w:tcBorders>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总锰</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2567" w:type="pct"/>
                  <w:vMerge w:val="continue"/>
                  <w:tcBorders>
                    <w:tl2br w:val="nil"/>
                    <w:tr2bl w:val="nil"/>
                  </w:tcBorders>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氨氮（以N计）</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567" w:type="pct"/>
                  <w:vMerge w:val="restar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浙江省地方标准《工业企业废水氮、磷污染物间接排放限值》（DB33/887-2013）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总磷（以P计）</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2567" w:type="pct"/>
                  <w:vMerge w:val="continue"/>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总铁</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256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浙江省地方标准《酸洗废水排放总铁浓度限值》（DB33/844-2011）二级标准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0" w:hRule="atLeast"/>
              </w:trPr>
              <w:tc>
                <w:tcPr>
                  <w:tcW w:w="123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1199"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56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《污水排入城镇下水道水质标准》（GB/T31962-2015）B级标准</w:t>
                  </w:r>
                </w:p>
              </w:tc>
            </w:tr>
          </w:tbl>
          <w:p>
            <w:pPr>
              <w:tabs>
                <w:tab w:val="left" w:pos="2145"/>
              </w:tabs>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ascii="Times New Roman" w:hAnsi="Times New Roman" w:eastAsia="宋体"/>
                <w:b/>
                <w:bCs/>
                <w:color w:val="auto"/>
                <w:sz w:val="21"/>
                <w:szCs w:val="21"/>
                <w:lang w:val="en-US" w:eastAsia="zh-CN"/>
              </w:rPr>
              <w:t xml:space="preserve">5 </w:t>
            </w:r>
            <w:r>
              <w:rPr>
                <w:rFonts w:hint="eastAsia" w:ascii="Times New Roman" w:hAnsi="Times New Roman" w:eastAsia="宋体"/>
                <w:b/>
                <w:bCs/>
                <w:color w:val="auto"/>
                <w:sz w:val="21"/>
                <w:szCs w:val="21"/>
              </w:rPr>
              <w:t>城镇污水处理厂污染物排放标准（单位：mg/L）</w:t>
            </w:r>
          </w:p>
          <w:tbl>
            <w:tblPr>
              <w:tblStyle w:val="1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756"/>
              <w:gridCol w:w="459"/>
              <w:gridCol w:w="919"/>
              <w:gridCol w:w="756"/>
              <w:gridCol w:w="942"/>
              <w:gridCol w:w="681"/>
              <w:gridCol w:w="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28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CODCr</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57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41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54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《城镇污水处理厂污染物排放标准》（GB18918-2002）一级A排放标准</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28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57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1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4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《城镇污水处理厂主要水污染物排放标准》（DB33/2169-2018）</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2"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64"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57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12（15）</w:t>
                  </w:r>
                </w:p>
              </w:tc>
              <w:tc>
                <w:tcPr>
                  <w:tcW w:w="41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548" w:type="pct"/>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8"/>
                  <w:tcBorders>
                    <w:tl2br w:val="nil"/>
                    <w:tr2bl w:val="nil"/>
                  </w:tcBorders>
                  <w:noWrap w:val="0"/>
                  <w:vAlign w:val="center"/>
                </w:tcPr>
                <w:p>
                  <w:pPr>
                    <w:adjustRightInd/>
                    <w:snapToGrid/>
                    <w:spacing w:after="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注：1）括号内数值为每年11月1日至次年3月31日执行。</w:t>
                  </w:r>
                </w:p>
              </w:tc>
            </w:tr>
          </w:tbl>
          <w:p>
            <w:pPr>
              <w:adjustRightInd/>
              <w:snapToGrid/>
              <w:spacing w:after="0" w:line="336" w:lineRule="auto"/>
              <w:ind w:firstLine="482" w:firstLineChars="200"/>
              <w:jc w:val="both"/>
              <w:rPr>
                <w:rFonts w:ascii="Times New Roman" w:hAnsi="Times New Roman" w:eastAsia="宋体"/>
                <w:b/>
                <w:bCs/>
                <w:color w:val="auto"/>
                <w:sz w:val="24"/>
                <w:szCs w:val="24"/>
              </w:rPr>
            </w:pPr>
            <w:r>
              <w:rPr>
                <w:rFonts w:ascii="Times New Roman" w:hAnsi="Times New Roman" w:eastAsia="宋体"/>
                <w:b/>
                <w:bCs/>
                <w:color w:val="auto"/>
                <w:sz w:val="24"/>
                <w:szCs w:val="24"/>
              </w:rPr>
              <w:t>3、噪声</w:t>
            </w:r>
          </w:p>
          <w:p>
            <w:pPr>
              <w:autoSpaceDE w:val="0"/>
              <w:autoSpaceDN w:val="0"/>
              <w:adjustRightInd/>
              <w:snapToGrid/>
              <w:spacing w:after="0" w:line="336" w:lineRule="auto"/>
              <w:ind w:firstLine="480" w:firstLineChars="200"/>
              <w:jc w:val="both"/>
              <w:rPr>
                <w:rFonts w:ascii="Times New Roman" w:hAnsi="Times New Roman" w:eastAsia="宋体"/>
                <w:bCs/>
                <w:color w:val="auto"/>
                <w:sz w:val="24"/>
                <w:szCs w:val="24"/>
              </w:rPr>
            </w:pPr>
            <w:r>
              <w:rPr>
                <w:rFonts w:ascii="Times New Roman" w:hAnsi="Times New Roman" w:eastAsia="宋体"/>
                <w:bCs/>
                <w:color w:val="auto"/>
                <w:sz w:val="24"/>
                <w:szCs w:val="24"/>
              </w:rPr>
              <w:t>营运期厂界噪声排放限值执行《工业企业厂界环境噪声排放标准》（GB12348-2008）中3类标准，</w:t>
            </w:r>
            <w:r>
              <w:rPr>
                <w:rFonts w:ascii="Times New Roman" w:hAnsi="Times New Roman" w:eastAsia="宋体"/>
                <w:color w:val="auto"/>
                <w:sz w:val="24"/>
              </w:rPr>
              <w:t>详见</w:t>
            </w:r>
            <w:r>
              <w:rPr>
                <w:rFonts w:hint="eastAsia" w:ascii="Times New Roman" w:hAnsi="Times New Roman" w:eastAsia="宋体"/>
                <w:color w:val="auto"/>
                <w:sz w:val="24"/>
              </w:rPr>
              <w:t>下</w:t>
            </w:r>
            <w:r>
              <w:rPr>
                <w:rFonts w:ascii="Times New Roman" w:hAnsi="Times New Roman" w:eastAsia="宋体"/>
                <w:color w:val="auto"/>
                <w:sz w:val="24"/>
              </w:rPr>
              <w:t>表</w:t>
            </w:r>
            <w:r>
              <w:rPr>
                <w:rFonts w:ascii="Times New Roman" w:hAnsi="Times New Roman" w:eastAsia="宋体"/>
                <w:bCs/>
                <w:color w:val="auto"/>
                <w:sz w:val="24"/>
                <w:szCs w:val="24"/>
              </w:rPr>
              <w:t>。</w:t>
            </w:r>
          </w:p>
          <w:p>
            <w:pPr>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ascii="Times New Roman" w:hAnsi="Times New Roman" w:eastAsia="宋体"/>
                <w:b/>
                <w:bCs/>
                <w:color w:val="auto"/>
                <w:sz w:val="21"/>
                <w:szCs w:val="21"/>
                <w:lang w:val="en-US" w:eastAsia="zh-CN"/>
              </w:rPr>
              <w:t xml:space="preserve">6 </w:t>
            </w:r>
            <w:r>
              <w:rPr>
                <w:rFonts w:ascii="Times New Roman" w:hAnsi="Times New Roman" w:eastAsia="宋体"/>
                <w:b/>
                <w:bCs/>
                <w:color w:val="auto"/>
                <w:sz w:val="21"/>
                <w:szCs w:val="21"/>
              </w:rPr>
              <w:t>《工业企业厂界环境噪声排放标准》单位：dB（A）</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2685"/>
              <w:gridCol w:w="2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80"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标准级别</w:t>
                  </w:r>
                </w:p>
              </w:tc>
              <w:tc>
                <w:tcPr>
                  <w:tcW w:w="2685"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2685"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80"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3类</w:t>
                  </w:r>
                </w:p>
              </w:tc>
              <w:tc>
                <w:tcPr>
                  <w:tcW w:w="2685"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65</w:t>
                  </w:r>
                </w:p>
              </w:tc>
              <w:tc>
                <w:tcPr>
                  <w:tcW w:w="2685"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55</w:t>
                  </w:r>
                </w:p>
              </w:tc>
            </w:tr>
          </w:tbl>
          <w:p>
            <w:pPr>
              <w:adjustRightInd/>
              <w:snapToGrid/>
              <w:spacing w:after="0" w:line="336" w:lineRule="auto"/>
              <w:ind w:firstLine="482" w:firstLineChars="200"/>
              <w:jc w:val="both"/>
              <w:rPr>
                <w:rFonts w:ascii="Times New Roman" w:hAnsi="Times New Roman" w:eastAsia="宋体"/>
                <w:b/>
                <w:bCs/>
                <w:color w:val="auto"/>
                <w:sz w:val="24"/>
                <w:szCs w:val="24"/>
              </w:rPr>
            </w:pPr>
            <w:r>
              <w:rPr>
                <w:rFonts w:ascii="Times New Roman" w:hAnsi="Times New Roman" w:eastAsia="宋体"/>
                <w:b/>
                <w:bCs/>
                <w:color w:val="auto"/>
                <w:sz w:val="24"/>
                <w:szCs w:val="24"/>
              </w:rPr>
              <w:t>4、固废</w:t>
            </w:r>
          </w:p>
          <w:p>
            <w:pPr>
              <w:pStyle w:val="6"/>
              <w:adjustRightInd/>
              <w:snapToGrid/>
              <w:spacing w:after="0" w:line="336" w:lineRule="auto"/>
              <w:ind w:firstLine="480" w:firstLineChars="200"/>
              <w:jc w:val="both"/>
              <w:rPr>
                <w:rFonts w:hint="default" w:ascii="Times New Roman" w:hAnsi="Times New Roman" w:eastAsia="宋体"/>
                <w:color w:val="auto"/>
              </w:rPr>
            </w:pPr>
            <w:r>
              <w:rPr>
                <w:rFonts w:hint="default" w:ascii="Times New Roman" w:hAnsi="Times New Roman" w:eastAsia="宋体"/>
                <w:color w:val="auto"/>
                <w:sz w:val="24"/>
                <w:szCs w:val="24"/>
              </w:rPr>
              <w:t>项目固体废物的处理、处置均应满足《中华人民共和国固体废物污染环境防治法》的要求，妥善处理，不得形成二次污染。本项目一般工业固体废物采用库房、包装工具（罐、桶、包装袋等）贮存，其贮存过程应满足相应防渗漏、防雨淋、防扬尘等环境保护要求。危险废物执行《危险废物贮存污染控制标准》（GB18597-2023）中的相关规定。</w:t>
            </w:r>
          </w:p>
          <w:p>
            <w:pPr>
              <w:adjustRightInd/>
              <w:snapToGrid/>
              <w:spacing w:after="0"/>
              <w:jc w:val="both"/>
              <w:rPr>
                <w:rFonts w:ascii="Times New Roman" w:hAnsi="Times New Roman" w:eastAsia="宋体"/>
                <w:color w:val="auto"/>
                <w:sz w:val="24"/>
                <w:szCs w:val="24"/>
              </w:rPr>
            </w:pPr>
          </w:p>
        </w:tc>
      </w:tr>
    </w:tbl>
    <w:p>
      <w:pPr>
        <w:adjustRightInd/>
        <w:snapToGrid/>
        <w:spacing w:after="0" w:line="360" w:lineRule="auto"/>
        <w:rPr>
          <w:rFonts w:ascii="Times New Roman" w:hAnsi="Times New Roman" w:eastAsia="宋体"/>
          <w:color w:val="auto"/>
          <w:sz w:val="24"/>
          <w:szCs w:val="24"/>
        </w:rPr>
        <w:sectPr>
          <w:footerReference r:id="rId8" w:type="default"/>
          <w:pgSz w:w="11906" w:h="16838"/>
          <w:pgMar w:top="1417" w:right="1417" w:bottom="1417" w:left="1417" w:header="709" w:footer="709" w:gutter="0"/>
          <w:pgBorders>
            <w:top w:val="none" w:sz="0" w:space="0"/>
            <w:left w:val="none" w:sz="0" w:space="0"/>
            <w:bottom w:val="none" w:sz="0" w:space="0"/>
            <w:right w:val="none" w:sz="0" w:space="0"/>
          </w:pgBorders>
          <w:pgNumType w:start="1"/>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10" w:name="_Toc10873"/>
      <w:bookmarkStart w:id="11" w:name="_Toc18950"/>
      <w:r>
        <w:rPr>
          <w:rFonts w:ascii="Times New Roman" w:hAnsi="Times New Roman" w:eastAsia="宋体"/>
          <w:color w:val="auto"/>
        </w:rPr>
        <w:t>表二</w:t>
      </w:r>
      <w:bookmarkEnd w:id="10"/>
      <w:r>
        <w:rPr>
          <w:rFonts w:ascii="Times New Roman" w:hAnsi="Times New Roman" w:eastAsia="宋体"/>
          <w:color w:val="auto"/>
        </w:rPr>
        <w:t>项目工程概况</w:t>
      </w:r>
      <w:bookmarkEnd w:id="11"/>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PrEx>
        <w:trPr>
          <w:trHeight w:val="1327" w:hRule="atLeast"/>
          <w:jc w:val="center"/>
        </w:trPr>
        <w:tc>
          <w:tcPr>
            <w:tcW w:w="5000" w:type="pct"/>
            <w:tcBorders>
              <w:top w:val="single" w:color="000000" w:sz="4" w:space="0"/>
              <w:left w:val="single" w:color="000000" w:sz="4" w:space="0"/>
              <w:bottom w:val="single" w:color="000000" w:sz="4" w:space="0"/>
              <w:right w:val="single" w:color="000000" w:sz="4" w:space="0"/>
            </w:tcBorders>
            <w:noWrap w:val="0"/>
            <w:vAlign w:val="top"/>
          </w:tcPr>
          <w:p>
            <w:pPr>
              <w:widowControl w:val="0"/>
              <w:adjustRightInd/>
              <w:snapToGrid/>
              <w:spacing w:after="0" w:line="336" w:lineRule="auto"/>
              <w:ind w:firstLine="562" w:firstLineChars="200"/>
              <w:jc w:val="both"/>
              <w:rPr>
                <w:rFonts w:ascii="Times New Roman" w:hAnsi="Times New Roman" w:eastAsia="宋体"/>
                <w:b/>
                <w:color w:val="auto"/>
                <w:kern w:val="2"/>
                <w:sz w:val="28"/>
                <w:szCs w:val="28"/>
              </w:rPr>
            </w:pPr>
            <w:r>
              <w:rPr>
                <w:rFonts w:hint="eastAsia" w:ascii="Times New Roman" w:hAnsi="Times New Roman" w:eastAsia="宋体"/>
                <w:b/>
                <w:color w:val="auto"/>
                <w:kern w:val="2"/>
                <w:sz w:val="28"/>
                <w:szCs w:val="28"/>
              </w:rPr>
              <w:t>2.1</w:t>
            </w:r>
            <w:r>
              <w:rPr>
                <w:rFonts w:ascii="Times New Roman" w:hAnsi="Times New Roman" w:eastAsia="宋体"/>
                <w:b/>
                <w:color w:val="auto"/>
                <w:kern w:val="2"/>
                <w:sz w:val="28"/>
                <w:szCs w:val="28"/>
              </w:rPr>
              <w:t>工程建设内容：</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1、</w:t>
            </w:r>
            <w:r>
              <w:rPr>
                <w:rFonts w:hint="eastAsia" w:ascii="Times New Roman" w:hAnsi="Times New Roman" w:eastAsia="宋体"/>
                <w:b/>
                <w:color w:val="auto"/>
                <w:kern w:val="2"/>
                <w:sz w:val="24"/>
                <w:szCs w:val="24"/>
              </w:rPr>
              <w:t>企业概况</w:t>
            </w:r>
          </w:p>
          <w:p>
            <w:pPr>
              <w:widowControl w:val="0"/>
              <w:adjustRightInd/>
              <w:snapToGrid/>
              <w:spacing w:after="0" w:line="336"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宁波莱堡制冷设备有限公司成立于2002年9月24日，是一家专业生产电机的企业，厂址位于宁波市海曙区洞桥镇工业园区，总占地面积</w:t>
            </w:r>
            <w:r>
              <w:rPr>
                <w:rFonts w:hint="default" w:ascii="Times New Roman" w:hAnsi="Times New Roman" w:eastAsia="宋体" w:cs="Times New Roman"/>
                <w:color w:val="auto"/>
                <w:sz w:val="24"/>
                <w:szCs w:val="24"/>
                <w:lang w:eastAsia="zh-CN"/>
              </w:rPr>
              <w:t>16656.6</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olor w:val="auto"/>
                <w:sz w:val="24"/>
                <w:szCs w:val="24"/>
                <w:lang w:eastAsia="zh-CN"/>
              </w:rPr>
              <w:t>，总建筑面积20126㎡。原审批规模为年产10万台电机，原审批工艺包括下料冲压、剥线、绕线、接线焊接、喷砂、喷漆与烘干等工序，现有项目电机外壳全部外购。</w:t>
            </w:r>
          </w:p>
          <w:p>
            <w:pPr>
              <w:widowControl w:val="0"/>
              <w:adjustRightInd/>
              <w:snapToGrid/>
              <w:spacing w:after="0" w:line="336"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随着市场的发展，电机品种的愈发多样化，电机外壳直接外购的弊端，如尺寸规格多样化，外购定制困难等问题日益突出，为了提升企业效益，宁波莱堡制冷设备有限公司投资200万元，在电机产能不变的基础上，对生产工艺进行技术改造，同时配套新增1条全自动硅烷化表面处理线、1条半自动酸洗磷化表面处理线、1条自动喷塑线以及2台浸漆设备。本次技改不新增建设用地及厂房。</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7</w:t>
            </w:r>
            <w:r>
              <w:rPr>
                <w:rFonts w:ascii="Times New Roman" w:hAnsi="Times New Roman" w:eastAsia="宋体"/>
                <w:color w:val="auto"/>
                <w:sz w:val="24"/>
                <w:szCs w:val="24"/>
              </w:rPr>
              <w:t>月，</w:t>
            </w:r>
            <w:r>
              <w:rPr>
                <w:rFonts w:hint="eastAsia" w:ascii="Times New Roman" w:hAnsi="Times New Roman" w:eastAsia="宋体"/>
                <w:color w:val="auto"/>
                <w:sz w:val="24"/>
                <w:szCs w:val="24"/>
                <w:lang w:eastAsia="zh-CN"/>
              </w:rPr>
              <w:t>宁波莱堡制冷设备有限公司</w:t>
            </w:r>
            <w:r>
              <w:rPr>
                <w:rFonts w:ascii="Times New Roman" w:hAnsi="Times New Roman" w:eastAsia="宋体"/>
                <w:color w:val="auto"/>
                <w:sz w:val="24"/>
                <w:szCs w:val="24"/>
              </w:rPr>
              <w:t>委托</w:t>
            </w:r>
            <w:r>
              <w:rPr>
                <w:rFonts w:hint="eastAsia" w:ascii="Times New Roman" w:hAnsi="Times New Roman" w:eastAsia="宋体"/>
                <w:color w:val="auto"/>
                <w:sz w:val="24"/>
                <w:szCs w:val="24"/>
              </w:rPr>
              <w:t>浙江仁欣环科院有限责任公司</w:t>
            </w:r>
            <w:r>
              <w:rPr>
                <w:rFonts w:ascii="Times New Roman" w:hAnsi="Times New Roman" w:eastAsia="宋体"/>
                <w:color w:val="auto"/>
                <w:sz w:val="24"/>
                <w:szCs w:val="24"/>
              </w:rPr>
              <w:t>编制了《</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环境影响报告表》；202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20</w:t>
            </w:r>
            <w:r>
              <w:rPr>
                <w:rFonts w:ascii="Times New Roman" w:hAnsi="Times New Roman" w:eastAsia="宋体"/>
                <w:color w:val="auto"/>
                <w:sz w:val="24"/>
                <w:szCs w:val="24"/>
              </w:rPr>
              <w:t>日，宁波市生态环境局</w:t>
            </w:r>
            <w:r>
              <w:rPr>
                <w:rFonts w:hint="eastAsia" w:ascii="Times New Roman" w:hAnsi="Times New Roman" w:eastAsia="宋体"/>
                <w:color w:val="auto"/>
                <w:sz w:val="24"/>
                <w:szCs w:val="24"/>
                <w:lang w:val="en-US" w:eastAsia="zh-CN"/>
              </w:rPr>
              <w:t>海曙</w:t>
            </w:r>
            <w:r>
              <w:rPr>
                <w:rFonts w:ascii="Times New Roman" w:hAnsi="Times New Roman" w:eastAsia="宋体"/>
                <w:color w:val="auto"/>
                <w:sz w:val="24"/>
                <w:szCs w:val="24"/>
              </w:rPr>
              <w:t>分局出具了该项目的审查意见（文号：</w:t>
            </w:r>
            <w:r>
              <w:rPr>
                <w:rFonts w:hint="eastAsia" w:ascii="Times New Roman" w:hAnsi="Times New Roman" w:eastAsia="宋体"/>
                <w:color w:val="auto"/>
                <w:sz w:val="24"/>
                <w:szCs w:val="24"/>
              </w:rPr>
              <w:t>2023甬环海审</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建</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第005号</w:t>
            </w:r>
            <w:r>
              <w:rPr>
                <w:rFonts w:ascii="Times New Roman" w:hAnsi="Times New Roman" w:eastAsia="宋体"/>
                <w:color w:val="auto"/>
                <w:sz w:val="24"/>
                <w:szCs w:val="24"/>
              </w:rPr>
              <w:t>）。</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本次验收范围为：</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主体工程及配套的环保设施与措施。</w:t>
            </w:r>
          </w:p>
          <w:p>
            <w:pPr>
              <w:widowControl w:val="0"/>
              <w:adjustRightInd/>
              <w:snapToGrid/>
              <w:spacing w:after="0" w:line="336"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eastAsia="宋体"/>
                <w:color w:val="auto"/>
                <w:sz w:val="24"/>
                <w:szCs w:val="24"/>
              </w:rPr>
              <w:t>对照《固定污染源排污许可分类管理名录》（2019版）</w:t>
            </w:r>
            <w:r>
              <w:rPr>
                <w:rFonts w:hint="eastAsia" w:ascii="Times New Roman" w:hAnsi="Times New Roman" w:eastAsia="宋体"/>
                <w:color w:val="auto"/>
                <w:sz w:val="24"/>
                <w:szCs w:val="24"/>
              </w:rPr>
              <w:t>，</w:t>
            </w:r>
            <w:r>
              <w:rPr>
                <w:rFonts w:ascii="Times New Roman" w:hAnsi="Times New Roman" w:eastAsia="宋体"/>
                <w:color w:val="auto"/>
                <w:sz w:val="24"/>
                <w:szCs w:val="24"/>
              </w:rPr>
              <w:t>本项目</w:t>
            </w:r>
            <w:r>
              <w:rPr>
                <w:rFonts w:hint="eastAsia" w:ascii="Times New Roman" w:hAnsi="Times New Roman" w:eastAsia="宋体"/>
                <w:color w:val="auto"/>
                <w:sz w:val="24"/>
                <w:szCs w:val="24"/>
              </w:rPr>
              <w:t>属于</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三十</w:t>
            </w:r>
            <w:r>
              <w:rPr>
                <w:rFonts w:hint="eastAsia" w:ascii="Times New Roman" w:hAnsi="Times New Roman" w:eastAsia="宋体"/>
                <w:color w:val="auto"/>
                <w:sz w:val="24"/>
                <w:szCs w:val="24"/>
                <w:lang w:val="en-US" w:eastAsia="zh-CN"/>
              </w:rPr>
              <w:t>三</w:t>
            </w: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电气机械和器材制造业38</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，企业</w:t>
            </w:r>
            <w:r>
              <w:rPr>
                <w:rFonts w:hint="eastAsia" w:ascii="Times New Roman" w:hAnsi="Times New Roman" w:eastAsia="宋体"/>
                <w:color w:val="auto"/>
                <w:sz w:val="24"/>
                <w:szCs w:val="24"/>
                <w:lang w:val="en-US" w:eastAsia="zh-CN"/>
              </w:rPr>
              <w:t>有酸洗磷化工艺</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涉及通用工序简化管理，</w:t>
            </w:r>
            <w:r>
              <w:rPr>
                <w:rFonts w:hint="eastAsia" w:ascii="Times New Roman" w:hAnsi="Times New Roman" w:eastAsia="宋体"/>
                <w:color w:val="auto"/>
                <w:sz w:val="24"/>
                <w:szCs w:val="24"/>
              </w:rPr>
              <w:t>实行</w:t>
            </w:r>
            <w:r>
              <w:rPr>
                <w:rFonts w:hint="eastAsia" w:ascii="Times New Roman" w:hAnsi="Times New Roman" w:eastAsia="宋体"/>
                <w:color w:val="auto"/>
                <w:sz w:val="24"/>
                <w:szCs w:val="24"/>
                <w:lang w:val="en-US" w:eastAsia="zh-CN"/>
              </w:rPr>
              <w:t>排污许可简化</w:t>
            </w:r>
            <w:r>
              <w:rPr>
                <w:rFonts w:hint="eastAsia" w:ascii="Times New Roman" w:hAnsi="Times New Roman" w:eastAsia="宋体"/>
                <w:color w:val="auto"/>
                <w:sz w:val="24"/>
                <w:szCs w:val="24"/>
              </w:rPr>
              <w:t>管理</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企业已于202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28</w:t>
            </w:r>
            <w:r>
              <w:rPr>
                <w:rFonts w:ascii="Times New Roman" w:hAnsi="Times New Roman" w:eastAsia="宋体"/>
                <w:color w:val="auto"/>
                <w:sz w:val="24"/>
                <w:szCs w:val="24"/>
              </w:rPr>
              <w:t>日完成排污许可</w:t>
            </w:r>
            <w:r>
              <w:rPr>
                <w:rFonts w:hint="eastAsia" w:ascii="Times New Roman" w:hAnsi="Times New Roman" w:eastAsia="宋体"/>
                <w:color w:val="auto"/>
                <w:sz w:val="24"/>
                <w:szCs w:val="24"/>
                <w:lang w:val="en-US" w:eastAsia="zh-CN"/>
              </w:rPr>
              <w:t>证首次申请</w:t>
            </w:r>
            <w:r>
              <w:rPr>
                <w:rFonts w:ascii="Times New Roman" w:hAnsi="Times New Roman" w:eastAsia="宋体"/>
                <w:color w:val="auto"/>
                <w:sz w:val="24"/>
                <w:szCs w:val="24"/>
              </w:rPr>
              <w:t>（排污许可</w:t>
            </w:r>
            <w:r>
              <w:rPr>
                <w:rFonts w:hint="eastAsia" w:ascii="Times New Roman" w:hAnsi="Times New Roman" w:eastAsia="宋体"/>
                <w:color w:val="auto"/>
                <w:sz w:val="24"/>
                <w:szCs w:val="24"/>
                <w:lang w:val="en-US" w:eastAsia="zh-CN"/>
              </w:rPr>
              <w:t>证</w:t>
            </w:r>
            <w:r>
              <w:rPr>
                <w:rFonts w:ascii="Times New Roman" w:hAnsi="Times New Roman" w:eastAsia="宋体"/>
                <w:color w:val="auto"/>
                <w:sz w:val="24"/>
                <w:szCs w:val="24"/>
              </w:rPr>
              <w:t>编号：</w:t>
            </w:r>
            <w:r>
              <w:rPr>
                <w:rFonts w:hint="eastAsia" w:ascii="Times New Roman" w:hAnsi="Times New Roman" w:eastAsia="宋体" w:cs="Times New Roman"/>
                <w:color w:val="auto"/>
                <w:sz w:val="24"/>
                <w:szCs w:val="24"/>
                <w:lang w:val="en-US" w:eastAsia="zh-CN"/>
              </w:rPr>
              <w:t>913302127421672138001W，有效期：</w:t>
            </w: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29</w:t>
            </w:r>
            <w:r>
              <w:rPr>
                <w:rFonts w:ascii="Times New Roman" w:hAnsi="Times New Roman" w:eastAsia="宋体"/>
                <w:color w:val="auto"/>
                <w:sz w:val="24"/>
                <w:szCs w:val="24"/>
              </w:rPr>
              <w:t>日</w:t>
            </w:r>
            <w:r>
              <w:rPr>
                <w:rFonts w:hint="eastAsia" w:ascii="Times New Roman" w:hAnsi="Times New Roman" w:eastAsia="宋体" w:cs="Times New Roman"/>
                <w:color w:val="auto"/>
                <w:sz w:val="24"/>
                <w:szCs w:val="24"/>
                <w:lang w:val="en-US" w:eastAsia="zh-CN"/>
              </w:rPr>
              <w:t>至</w:t>
            </w: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28</w:t>
            </w:r>
            <w:r>
              <w:rPr>
                <w:rFonts w:ascii="Times New Roman" w:hAnsi="Times New Roman" w:eastAsia="宋体"/>
                <w:color w:val="auto"/>
                <w:sz w:val="24"/>
                <w:szCs w:val="24"/>
              </w:rPr>
              <w:t>日</w:t>
            </w:r>
            <w:r>
              <w:rPr>
                <w:rFonts w:hint="eastAsia" w:ascii="Times New Roman" w:hAnsi="Times New Roman" w:eastAsia="宋体" w:cs="Times New Roman"/>
                <w:color w:val="auto"/>
                <w:sz w:val="24"/>
                <w:szCs w:val="24"/>
                <w:lang w:val="en-US" w:eastAsia="zh-CN"/>
              </w:rPr>
              <w:t>）。</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29</w:t>
            </w:r>
            <w:r>
              <w:rPr>
                <w:rFonts w:ascii="Times New Roman" w:hAnsi="Times New Roman" w:eastAsia="宋体"/>
                <w:color w:val="auto"/>
                <w:sz w:val="24"/>
                <w:szCs w:val="24"/>
              </w:rPr>
              <w:t>日，企业根据《建设项目竣工环境保护验收暂行办法》（国环规环评[2017]4号）要求在企业大门口公示了</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竣工日期及调试起止日期（202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29日-2024年1月31日</w:t>
            </w:r>
            <w:r>
              <w:rPr>
                <w:rFonts w:ascii="Times New Roman" w:hAnsi="Times New Roman" w:eastAsia="宋体"/>
                <w:color w:val="auto"/>
                <w:sz w:val="24"/>
                <w:szCs w:val="24"/>
              </w:rPr>
              <w:t>）。</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企业</w:t>
            </w:r>
            <w:r>
              <w:rPr>
                <w:rFonts w:hint="eastAsia" w:ascii="Times New Roman" w:hAnsi="Times New Roman" w:eastAsia="宋体" w:cs="Times New Roman"/>
                <w:color w:val="auto"/>
                <w:sz w:val="24"/>
                <w:szCs w:val="24"/>
                <w:lang w:val="en-US" w:eastAsia="zh-CN"/>
              </w:rPr>
              <w:t>于2022年4月</w:t>
            </w:r>
            <w:r>
              <w:rPr>
                <w:rFonts w:ascii="Times New Roman" w:hAnsi="Times New Roman" w:eastAsia="宋体" w:cs="Times New Roman"/>
                <w:color w:val="auto"/>
                <w:sz w:val="24"/>
                <w:szCs w:val="24"/>
              </w:rPr>
              <w:t>开工建设</w:t>
            </w:r>
            <w:r>
              <w:rPr>
                <w:rFonts w:hint="eastAsia" w:ascii="Times New Roman" w:hAnsi="Times New Roman" w:eastAsia="宋体" w:cs="Times New Roman"/>
                <w:color w:val="auto"/>
                <w:sz w:val="24"/>
                <w:szCs w:val="24"/>
                <w:lang w:val="en-US" w:eastAsia="zh-CN"/>
              </w:rPr>
              <w:t>，项目未经生态环境部门审批，宁波市生态环境局于2022年7月20日开具了责令改正环境违法行为决定书，同月企业</w:t>
            </w:r>
            <w:r>
              <w:rPr>
                <w:rFonts w:ascii="Times New Roman" w:hAnsi="Times New Roman" w:eastAsia="宋体"/>
                <w:color w:val="auto"/>
                <w:sz w:val="24"/>
                <w:szCs w:val="24"/>
              </w:rPr>
              <w:t>委托</w:t>
            </w:r>
            <w:r>
              <w:rPr>
                <w:rFonts w:hint="eastAsia" w:ascii="Times New Roman" w:hAnsi="Times New Roman" w:eastAsia="宋体"/>
                <w:color w:val="auto"/>
                <w:sz w:val="24"/>
                <w:szCs w:val="24"/>
              </w:rPr>
              <w:t>浙江仁欣环科院有限责任公司</w:t>
            </w:r>
            <w:r>
              <w:rPr>
                <w:rFonts w:ascii="Times New Roman" w:hAnsi="Times New Roman" w:eastAsia="宋体"/>
                <w:color w:val="auto"/>
                <w:sz w:val="24"/>
                <w:szCs w:val="24"/>
              </w:rPr>
              <w:t>编制</w:t>
            </w:r>
            <w:r>
              <w:rPr>
                <w:rFonts w:hint="eastAsia" w:ascii="Times New Roman" w:hAnsi="Times New Roman" w:eastAsia="宋体"/>
                <w:color w:val="auto"/>
                <w:sz w:val="24"/>
                <w:szCs w:val="24"/>
                <w:lang w:val="en-US" w:eastAsia="zh-CN"/>
              </w:rPr>
              <w:t>环境影响报告表，并于</w:t>
            </w:r>
            <w:r>
              <w:rPr>
                <w:rFonts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20</w:t>
            </w:r>
            <w:r>
              <w:rPr>
                <w:rFonts w:ascii="Times New Roman" w:hAnsi="Times New Roman" w:eastAsia="宋体"/>
                <w:color w:val="auto"/>
                <w:sz w:val="24"/>
                <w:szCs w:val="24"/>
              </w:rPr>
              <w:t>日，</w:t>
            </w:r>
            <w:r>
              <w:rPr>
                <w:rFonts w:hint="eastAsia" w:ascii="Times New Roman" w:hAnsi="Times New Roman" w:eastAsia="宋体"/>
                <w:color w:val="auto"/>
                <w:sz w:val="24"/>
                <w:szCs w:val="24"/>
                <w:lang w:val="en-US" w:eastAsia="zh-CN"/>
              </w:rPr>
              <w:t>获得</w:t>
            </w:r>
            <w:r>
              <w:rPr>
                <w:rFonts w:ascii="Times New Roman" w:hAnsi="Times New Roman" w:eastAsia="宋体"/>
                <w:color w:val="auto"/>
                <w:sz w:val="24"/>
                <w:szCs w:val="24"/>
              </w:rPr>
              <w:t>宁波市生态环境局</w:t>
            </w:r>
            <w:r>
              <w:rPr>
                <w:rFonts w:hint="eastAsia" w:ascii="Times New Roman" w:hAnsi="Times New Roman" w:eastAsia="宋体"/>
                <w:color w:val="auto"/>
                <w:sz w:val="24"/>
                <w:szCs w:val="24"/>
                <w:lang w:val="en-US" w:eastAsia="zh-CN"/>
              </w:rPr>
              <w:t>海曙</w:t>
            </w:r>
            <w:r>
              <w:rPr>
                <w:rFonts w:ascii="Times New Roman" w:hAnsi="Times New Roman" w:eastAsia="宋体"/>
                <w:color w:val="auto"/>
                <w:sz w:val="24"/>
                <w:szCs w:val="24"/>
              </w:rPr>
              <w:t>分局出具</w:t>
            </w:r>
            <w:r>
              <w:rPr>
                <w:rFonts w:hint="eastAsia" w:ascii="Times New Roman" w:hAnsi="Times New Roman" w:eastAsia="宋体"/>
                <w:color w:val="auto"/>
                <w:sz w:val="24"/>
                <w:szCs w:val="24"/>
                <w:lang w:eastAsia="zh-CN"/>
              </w:rPr>
              <w:t>的</w:t>
            </w:r>
            <w:r>
              <w:rPr>
                <w:rFonts w:ascii="Times New Roman" w:hAnsi="Times New Roman" w:eastAsia="宋体"/>
                <w:color w:val="auto"/>
                <w:sz w:val="24"/>
                <w:szCs w:val="24"/>
              </w:rPr>
              <w:t>该项目的审查意见</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企业从获得环境影响评价</w:t>
            </w:r>
            <w:r>
              <w:rPr>
                <w:rFonts w:ascii="Times New Roman" w:hAnsi="Times New Roman" w:eastAsia="宋体"/>
                <w:color w:val="auto"/>
                <w:sz w:val="24"/>
                <w:szCs w:val="24"/>
              </w:rPr>
              <w:t>审查意见</w:t>
            </w:r>
            <w:r>
              <w:rPr>
                <w:rFonts w:hint="eastAsia" w:ascii="Times New Roman" w:hAnsi="Times New Roman" w:eastAsia="宋体"/>
                <w:color w:val="auto"/>
                <w:sz w:val="24"/>
                <w:szCs w:val="24"/>
                <w:lang w:val="en-US" w:eastAsia="zh-CN"/>
              </w:rPr>
              <w:t>至</w:t>
            </w:r>
            <w:r>
              <w:rPr>
                <w:rFonts w:ascii="Times New Roman" w:hAnsi="Times New Roman" w:eastAsia="宋体" w:cs="Times New Roman"/>
                <w:color w:val="auto"/>
                <w:sz w:val="24"/>
                <w:szCs w:val="24"/>
              </w:rPr>
              <w:t>竣工验收</w:t>
            </w:r>
            <w:r>
              <w:rPr>
                <w:rFonts w:hint="eastAsia" w:ascii="Times New Roman" w:hAnsi="Times New Roman" w:eastAsia="宋体" w:cs="Times New Roman"/>
                <w:color w:val="auto"/>
                <w:sz w:val="24"/>
                <w:szCs w:val="24"/>
                <w:lang w:val="en-US" w:eastAsia="zh-CN"/>
              </w:rPr>
              <w:t>期间</w:t>
            </w:r>
            <w:r>
              <w:rPr>
                <w:rFonts w:ascii="Times New Roman" w:hAnsi="Times New Roman" w:eastAsia="宋体" w:cs="Times New Roman"/>
                <w:color w:val="auto"/>
                <w:sz w:val="24"/>
                <w:szCs w:val="24"/>
              </w:rPr>
              <w:t>无环境投诉、违法或处罚记录。</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目前该项目正常运营，基本具备建设项目竣工环境保护验收监测条件。根据《中华人民共和国环境保护法》、生态环境部及浙江省生态环境厅对建设项目竣工验收监测的相关技术规范要求，企业组织该项目的竣工环境保护验收工作，委托</w:t>
            </w:r>
            <w:r>
              <w:rPr>
                <w:rFonts w:hint="eastAsia" w:ascii="Times New Roman" w:hAnsi="Times New Roman" w:eastAsia="宋体"/>
                <w:color w:val="auto"/>
                <w:sz w:val="24"/>
                <w:szCs w:val="24"/>
              </w:rPr>
              <w:t>浙江</w:t>
            </w:r>
            <w:r>
              <w:rPr>
                <w:rFonts w:hint="eastAsia" w:ascii="Times New Roman" w:hAnsi="Times New Roman" w:eastAsia="宋体"/>
                <w:color w:val="auto"/>
                <w:sz w:val="24"/>
                <w:szCs w:val="24"/>
                <w:lang w:val="en-US" w:eastAsia="zh-CN"/>
              </w:rPr>
              <w:t>甬信</w:t>
            </w:r>
            <w:r>
              <w:rPr>
                <w:rFonts w:hint="eastAsia" w:ascii="Times New Roman" w:hAnsi="Times New Roman" w:eastAsia="宋体"/>
                <w:color w:val="auto"/>
                <w:sz w:val="24"/>
                <w:szCs w:val="24"/>
              </w:rPr>
              <w:t>检测技术有限公司</w:t>
            </w:r>
            <w:r>
              <w:rPr>
                <w:rFonts w:ascii="Times New Roman" w:hAnsi="Times New Roman" w:eastAsia="宋体"/>
                <w:color w:val="auto"/>
                <w:sz w:val="24"/>
                <w:szCs w:val="24"/>
              </w:rPr>
              <w:t>于</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7日-</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8日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w:t>
            </w:r>
            <w:r>
              <w:rPr>
                <w:rFonts w:ascii="Times New Roman" w:hAnsi="Times New Roman" w:eastAsia="宋体"/>
                <w:color w:val="auto"/>
                <w:sz w:val="24"/>
                <w:szCs w:val="24"/>
              </w:rPr>
              <w:t>对该项目进行现场监测，根据监测结果和实际建设情况编制了《</w:t>
            </w:r>
            <w:r>
              <w:rPr>
                <w:rFonts w:hint="eastAsia" w:ascii="Times New Roman" w:hAnsi="Times New Roman" w:eastAsia="宋体"/>
                <w:color w:val="auto"/>
                <w:sz w:val="24"/>
                <w:szCs w:val="24"/>
                <w:lang w:eastAsia="zh-CN"/>
              </w:rPr>
              <w:t>宁波莱堡制冷设备有限公司年产10万台电机生产线技改项目</w:t>
            </w:r>
            <w:r>
              <w:rPr>
                <w:rFonts w:ascii="Times New Roman" w:hAnsi="Times New Roman" w:eastAsia="宋体"/>
                <w:color w:val="auto"/>
                <w:sz w:val="24"/>
                <w:szCs w:val="24"/>
              </w:rPr>
              <w:t>竣工环境保护验收监测报告表》。</w:t>
            </w:r>
          </w:p>
          <w:p>
            <w:pPr>
              <w:widowControl w:val="0"/>
              <w:adjustRightInd/>
              <w:snapToGrid/>
              <w:spacing w:after="0" w:line="336" w:lineRule="auto"/>
              <w:ind w:firstLine="482" w:firstLineChars="200"/>
              <w:jc w:val="both"/>
              <w:rPr>
                <w:rFonts w:ascii="Times New Roman" w:hAnsi="Times New Roman" w:eastAsia="宋体" w:cs="Times New Roman"/>
                <w:b/>
                <w:color w:val="auto"/>
                <w:kern w:val="2"/>
                <w:sz w:val="24"/>
                <w:szCs w:val="24"/>
              </w:rPr>
            </w:pPr>
            <w:r>
              <w:rPr>
                <w:rFonts w:hint="eastAsia" w:ascii="Times New Roman" w:hAnsi="Times New Roman" w:eastAsia="宋体" w:cs="Times New Roman"/>
                <w:b/>
                <w:color w:val="auto"/>
                <w:kern w:val="2"/>
                <w:sz w:val="24"/>
                <w:szCs w:val="24"/>
                <w:lang w:val="en-US" w:eastAsia="zh-CN"/>
              </w:rPr>
              <w:t>2</w:t>
            </w:r>
            <w:r>
              <w:rPr>
                <w:rFonts w:ascii="Times New Roman" w:hAnsi="Times New Roman" w:eastAsia="宋体" w:cs="Times New Roman"/>
                <w:b/>
                <w:color w:val="auto"/>
                <w:kern w:val="2"/>
                <w:sz w:val="24"/>
                <w:szCs w:val="24"/>
              </w:rPr>
              <w:t>、</w:t>
            </w:r>
            <w:r>
              <w:rPr>
                <w:rFonts w:hint="eastAsia" w:ascii="Times New Roman" w:hAnsi="Times New Roman" w:eastAsia="宋体" w:cs="Times New Roman"/>
                <w:b/>
                <w:color w:val="auto"/>
                <w:kern w:val="2"/>
                <w:sz w:val="24"/>
                <w:szCs w:val="24"/>
              </w:rPr>
              <w:t>地理位置及厂区平面布置</w:t>
            </w:r>
          </w:p>
          <w:p>
            <w:pPr>
              <w:widowControl w:val="0"/>
              <w:adjustRightInd/>
              <w:snapToGrid/>
              <w:spacing w:after="0" w:line="336"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本项目位于</w:t>
            </w:r>
            <w:r>
              <w:rPr>
                <w:rFonts w:hint="eastAsia" w:ascii="Times New Roman" w:hAnsi="Times New Roman" w:eastAsia="宋体" w:cs="Times New Roman"/>
                <w:color w:val="auto"/>
                <w:sz w:val="24"/>
                <w:szCs w:val="24"/>
              </w:rPr>
              <w:t>宁波市海曙区洞桥镇工业园区洞北路22号</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中心经纬度为：</w:t>
            </w:r>
            <w:r>
              <w:rPr>
                <w:rFonts w:hint="default" w:ascii="Times New Roman" w:hAnsi="Times New Roman" w:eastAsia="宋体" w:cs="Times New Roman"/>
                <w:color w:val="auto"/>
                <w:sz w:val="24"/>
                <w:szCs w:val="24"/>
                <w:lang w:val="en-US" w:eastAsia="zh-CN"/>
              </w:rPr>
              <w:t>E121°25′6.75″，N29°47′11.83″</w:t>
            </w:r>
            <w:r>
              <w:rPr>
                <w:rFonts w:hint="eastAsia" w:ascii="Times New Roman" w:hAnsi="Times New Roman" w:eastAsia="宋体" w:cs="Times New Roman"/>
                <w:color w:val="auto"/>
                <w:sz w:val="24"/>
                <w:szCs w:val="24"/>
                <w:lang w:val="en-US" w:eastAsia="zh-CN"/>
              </w:rPr>
              <w:t>。验</w:t>
            </w:r>
            <w:r>
              <w:rPr>
                <w:rFonts w:hint="eastAsia" w:ascii="Times New Roman" w:hAnsi="Times New Roman" w:eastAsia="宋体" w:cs="Times New Roman"/>
                <w:color w:val="auto"/>
                <w:sz w:val="24"/>
                <w:szCs w:val="24"/>
              </w:rPr>
              <w:t>收期间，经现场核查，本项目实际地理位置与环评设计阶段一致，未发生变动。周围环境具体情况见下表。</w:t>
            </w:r>
          </w:p>
          <w:p>
            <w:pPr>
              <w:widowControl w:val="0"/>
              <w:adjustRightInd/>
              <w:snapToGrid/>
              <w:spacing w:after="0"/>
              <w:jc w:val="center"/>
              <w:rPr>
                <w:rFonts w:ascii="Times New Roman" w:hAnsi="Times New Roman" w:eastAsia="宋体" w:cs="Times New Roman"/>
                <w:b/>
                <w:bCs/>
                <w:color w:val="auto"/>
                <w:kern w:val="2"/>
                <w:sz w:val="21"/>
                <w:szCs w:val="21"/>
              </w:rPr>
            </w:pPr>
            <w:r>
              <w:rPr>
                <w:rFonts w:ascii="Times New Roman" w:hAnsi="Times New Roman" w:eastAsia="宋体" w:cs="Times New Roman"/>
                <w:b/>
                <w:bCs/>
                <w:color w:val="auto"/>
                <w:kern w:val="2"/>
                <w:sz w:val="21"/>
                <w:szCs w:val="21"/>
              </w:rPr>
              <w:t>表2</w:t>
            </w:r>
            <w:r>
              <w:rPr>
                <w:rFonts w:hint="eastAsia" w:ascii="Times New Roman" w:hAnsi="Times New Roman" w:eastAsia="宋体" w:cs="Times New Roman"/>
                <w:b/>
                <w:bCs/>
                <w:color w:val="auto"/>
                <w:kern w:val="2"/>
                <w:sz w:val="21"/>
                <w:szCs w:val="21"/>
              </w:rPr>
              <w:t>-1</w:t>
            </w:r>
            <w:r>
              <w:rPr>
                <w:rFonts w:hint="eastAsia"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rPr>
              <w:t>项目周围环境概况</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06"/>
              <w:gridCol w:w="2190"/>
              <w:gridCol w:w="2342"/>
              <w:gridCol w:w="2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vMerge w:val="restart"/>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序号</w:t>
                  </w:r>
                </w:p>
              </w:tc>
              <w:tc>
                <w:tcPr>
                  <w:tcW w:w="1006" w:type="dxa"/>
                  <w:vMerge w:val="restart"/>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方位</w:t>
                  </w:r>
                </w:p>
              </w:tc>
              <w:tc>
                <w:tcPr>
                  <w:tcW w:w="4532" w:type="dxa"/>
                  <w:gridSpan w:val="2"/>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实际周边环境</w:t>
                  </w:r>
                </w:p>
              </w:tc>
              <w:tc>
                <w:tcPr>
                  <w:tcW w:w="2462" w:type="dxa"/>
                  <w:vMerge w:val="restart"/>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环评备案的周边环境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vMerge w:val="continue"/>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p>
              </w:tc>
              <w:tc>
                <w:tcPr>
                  <w:tcW w:w="1006" w:type="dxa"/>
                  <w:vMerge w:val="continue"/>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p>
              </w:tc>
              <w:tc>
                <w:tcPr>
                  <w:tcW w:w="2190"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与企业厂界最近距离</w:t>
                  </w:r>
                </w:p>
              </w:tc>
              <w:tc>
                <w:tcPr>
                  <w:tcW w:w="234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现状</w:t>
                  </w:r>
                </w:p>
              </w:tc>
              <w:tc>
                <w:tcPr>
                  <w:tcW w:w="2462" w:type="dxa"/>
                  <w:vMerge w:val="continue"/>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p>
              </w:tc>
              <w:tc>
                <w:tcPr>
                  <w:tcW w:w="1006"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东侧</w:t>
                  </w:r>
                </w:p>
              </w:tc>
              <w:tc>
                <w:tcPr>
                  <w:tcW w:w="2190"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隔上凌路</w:t>
                  </w:r>
                </w:p>
              </w:tc>
              <w:tc>
                <w:tcPr>
                  <w:tcW w:w="2342"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rPr>
                    <w:t>宁波新冠联机电有限公司</w:t>
                  </w:r>
                </w:p>
              </w:tc>
              <w:tc>
                <w:tcPr>
                  <w:tcW w:w="246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宁波新冠联机电有限公司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1006"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南侧</w:t>
                  </w:r>
                </w:p>
              </w:tc>
              <w:tc>
                <w:tcPr>
                  <w:tcW w:w="2190"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隔洞北路</w:t>
                  </w:r>
                </w:p>
              </w:tc>
              <w:tc>
                <w:tcPr>
                  <w:tcW w:w="2342"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rPr>
                    <w:t>宁波莱特海威电子科技有限公司</w:t>
                  </w:r>
                </w:p>
              </w:tc>
              <w:tc>
                <w:tcPr>
                  <w:tcW w:w="246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宁波莱特海威电子科技有限公司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1006"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西侧</w:t>
                  </w:r>
                </w:p>
              </w:tc>
              <w:tc>
                <w:tcPr>
                  <w:tcW w:w="2190"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相邻</w:t>
                  </w:r>
                </w:p>
              </w:tc>
              <w:tc>
                <w:tcPr>
                  <w:tcW w:w="234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华昌机械</w:t>
                  </w:r>
                </w:p>
              </w:tc>
              <w:tc>
                <w:tcPr>
                  <w:tcW w:w="246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华昌机械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w:t>
                  </w:r>
                </w:p>
              </w:tc>
              <w:tc>
                <w:tcPr>
                  <w:tcW w:w="1006"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北侧</w:t>
                  </w:r>
                </w:p>
              </w:tc>
              <w:tc>
                <w:tcPr>
                  <w:tcW w:w="2190"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隔洞振路</w:t>
                  </w:r>
                </w:p>
              </w:tc>
              <w:tc>
                <w:tcPr>
                  <w:tcW w:w="234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农田</w:t>
                  </w:r>
                </w:p>
              </w:tc>
              <w:tc>
                <w:tcPr>
                  <w:tcW w:w="246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w:t>
                  </w:r>
                </w:p>
              </w:tc>
              <w:tc>
                <w:tcPr>
                  <w:tcW w:w="1006"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东北侧</w:t>
                  </w:r>
                </w:p>
              </w:tc>
              <w:tc>
                <w:tcPr>
                  <w:tcW w:w="2190"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112米</w:t>
                  </w:r>
                </w:p>
              </w:tc>
              <w:tc>
                <w:tcPr>
                  <w:tcW w:w="234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上凌村</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rPr>
                    <w:t>敏感点</w:t>
                  </w:r>
                  <w:r>
                    <w:rPr>
                      <w:rFonts w:hint="eastAsia" w:ascii="Times New Roman" w:hAnsi="Times New Roman" w:eastAsia="宋体" w:cs="Times New Roman"/>
                      <w:color w:val="auto"/>
                      <w:kern w:val="2"/>
                      <w:sz w:val="21"/>
                      <w:szCs w:val="21"/>
                      <w:lang w:eastAsia="zh-CN"/>
                    </w:rPr>
                    <w:t>）</w:t>
                  </w:r>
                </w:p>
              </w:tc>
              <w:tc>
                <w:tcPr>
                  <w:tcW w:w="2462" w:type="dxa"/>
                  <w:noWrap w:val="0"/>
                  <w:vAlign w:val="center"/>
                </w:tcPr>
                <w:p>
                  <w:pPr>
                    <w:widowControl w:val="0"/>
                    <w:adjustRightInd/>
                    <w:snapToGrid/>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上凌村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w:t>
                  </w:r>
                </w:p>
              </w:tc>
              <w:tc>
                <w:tcPr>
                  <w:tcW w:w="1006"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南侧</w:t>
                  </w:r>
                </w:p>
              </w:tc>
              <w:tc>
                <w:tcPr>
                  <w:tcW w:w="2190"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442米</w:t>
                  </w:r>
                </w:p>
              </w:tc>
              <w:tc>
                <w:tcPr>
                  <w:tcW w:w="234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上水碶村</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rPr>
                    <w:t>敏感点</w:t>
                  </w:r>
                  <w:r>
                    <w:rPr>
                      <w:rFonts w:hint="eastAsia" w:ascii="Times New Roman" w:hAnsi="Times New Roman" w:eastAsia="宋体" w:cs="Times New Roman"/>
                      <w:color w:val="auto"/>
                      <w:kern w:val="2"/>
                      <w:sz w:val="21"/>
                      <w:szCs w:val="21"/>
                      <w:lang w:eastAsia="zh-CN"/>
                    </w:rPr>
                    <w:t>）</w:t>
                  </w:r>
                </w:p>
              </w:tc>
              <w:tc>
                <w:tcPr>
                  <w:tcW w:w="246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上水碶村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w:t>
                  </w:r>
                </w:p>
              </w:tc>
              <w:tc>
                <w:tcPr>
                  <w:tcW w:w="1006"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西北侧</w:t>
                  </w:r>
                </w:p>
              </w:tc>
              <w:tc>
                <w:tcPr>
                  <w:tcW w:w="2190" w:type="dxa"/>
                  <w:noWrap w:val="0"/>
                  <w:vAlign w:val="center"/>
                </w:tcPr>
                <w:p>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430米</w:t>
                  </w:r>
                </w:p>
              </w:tc>
              <w:tc>
                <w:tcPr>
                  <w:tcW w:w="234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穆家村</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rPr>
                    <w:t>敏感点</w:t>
                  </w:r>
                  <w:r>
                    <w:rPr>
                      <w:rFonts w:hint="eastAsia" w:ascii="Times New Roman" w:hAnsi="Times New Roman" w:eastAsia="宋体" w:cs="Times New Roman"/>
                      <w:color w:val="auto"/>
                      <w:kern w:val="2"/>
                      <w:sz w:val="21"/>
                      <w:szCs w:val="21"/>
                      <w:lang w:eastAsia="zh-CN"/>
                    </w:rPr>
                    <w:t>）</w:t>
                  </w:r>
                </w:p>
              </w:tc>
              <w:tc>
                <w:tcPr>
                  <w:tcW w:w="2462" w:type="dxa"/>
                  <w:noWrap w:val="0"/>
                  <w:vAlign w:val="center"/>
                </w:tcPr>
                <w:p>
                  <w:pPr>
                    <w:widowControl w:val="0"/>
                    <w:adjustRightInd/>
                    <w:snapToGrid/>
                    <w:spacing w:after="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穆家村</w:t>
                  </w:r>
                </w:p>
              </w:tc>
            </w:tr>
          </w:tbl>
          <w:p>
            <w:pPr>
              <w:widowControl w:val="0"/>
              <w:adjustRightInd/>
              <w:snapToGrid/>
              <w:spacing w:after="0" w:line="336"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厂区</w:t>
            </w:r>
            <w:r>
              <w:rPr>
                <w:rFonts w:hint="eastAsia" w:ascii="Times New Roman" w:hAnsi="Times New Roman" w:eastAsia="宋体" w:cs="Times New Roman"/>
                <w:color w:val="auto"/>
                <w:sz w:val="24"/>
                <w:szCs w:val="24"/>
                <w:lang w:val="en-US" w:eastAsia="zh-CN"/>
              </w:rPr>
              <w:t>平面布置详细</w:t>
            </w:r>
            <w:r>
              <w:rPr>
                <w:rFonts w:hint="eastAsia" w:ascii="Times New Roman" w:hAnsi="Times New Roman" w:eastAsia="宋体" w:cs="Times New Roman"/>
                <w:color w:val="auto"/>
                <w:sz w:val="24"/>
                <w:szCs w:val="24"/>
              </w:rPr>
              <w:t>见下图。</w:t>
            </w:r>
          </w:p>
          <w:p>
            <w:pPr>
              <w:widowControl w:val="0"/>
              <w:adjustRightInd/>
              <w:snapToGrid/>
              <w:spacing w:after="0"/>
              <w:jc w:val="center"/>
              <w:rPr>
                <w:rFonts w:hint="eastAsia" w:ascii="Times New Roman" w:hAnsi="Times New Roman" w:eastAsia="宋体" w:cs="Times New Roman"/>
                <w:b/>
                <w:bCs/>
                <w:color w:val="auto"/>
                <w:kern w:val="2"/>
                <w:sz w:val="21"/>
                <w:szCs w:val="21"/>
                <w:lang w:val="en-US" w:eastAsia="zh-CN"/>
              </w:rPr>
            </w:pPr>
            <w:r>
              <w:rPr>
                <w:rFonts w:hint="default" w:ascii="Times New Roman" w:hAnsi="Times New Roman" w:cs="Times New Roman"/>
                <w:sz w:val="24"/>
                <w:lang w:val="en-US" w:eastAsia="zh-CN"/>
              </w:rPr>
              <w:drawing>
                <wp:inline distT="0" distB="0" distL="114300" distR="114300">
                  <wp:extent cx="5650865" cy="8434705"/>
                  <wp:effectExtent l="0" t="0" r="6985" b="4445"/>
                  <wp:docPr id="14" name="图片 1" descr="02ac1a7af900cf30d9c553033c6b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02ac1a7af900cf30d9c553033c6b24d"/>
                          <pic:cNvPicPr>
                            <a:picLocks noChangeAspect="1"/>
                          </pic:cNvPicPr>
                        </pic:nvPicPr>
                        <pic:blipFill>
                          <a:blip r:embed="rId10"/>
                          <a:stretch>
                            <a:fillRect/>
                          </a:stretch>
                        </pic:blipFill>
                        <pic:spPr>
                          <a:xfrm>
                            <a:off x="0" y="0"/>
                            <a:ext cx="5650865" cy="8434705"/>
                          </a:xfrm>
                          <a:prstGeom prst="rect">
                            <a:avLst/>
                          </a:prstGeom>
                          <a:noFill/>
                          <a:ln>
                            <a:noFill/>
                          </a:ln>
                        </pic:spPr>
                      </pic:pic>
                    </a:graphicData>
                  </a:graphic>
                </wp:inline>
              </w:drawing>
            </w:r>
          </w:p>
          <w:p>
            <w:pPr>
              <w:widowControl w:val="0"/>
              <w:adjustRightInd/>
              <w:snapToGrid/>
              <w:spacing w:after="0"/>
              <w:jc w:val="center"/>
              <w:rPr>
                <w:rFonts w:hint="eastAsia"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图</w:t>
            </w:r>
            <w:r>
              <w:rPr>
                <w:rFonts w:ascii="Times New Roman" w:hAnsi="Times New Roman" w:eastAsia="宋体" w:cs="Times New Roman"/>
                <w:b/>
                <w:bCs/>
                <w:color w:val="auto"/>
                <w:kern w:val="2"/>
                <w:sz w:val="21"/>
                <w:szCs w:val="21"/>
              </w:rPr>
              <w:t>2</w:t>
            </w:r>
            <w:r>
              <w:rPr>
                <w:rFonts w:hint="eastAsia" w:ascii="Times New Roman" w:hAnsi="Times New Roman" w:eastAsia="宋体" w:cs="Times New Roman"/>
                <w:b/>
                <w:bCs/>
                <w:color w:val="auto"/>
                <w:kern w:val="2"/>
                <w:sz w:val="21"/>
                <w:szCs w:val="21"/>
              </w:rPr>
              <w:t>-1厂区平面布置图</w:t>
            </w:r>
          </w:p>
          <w:p>
            <w:pPr>
              <w:widowControl w:val="0"/>
              <w:adjustRightInd/>
              <w:snapToGrid/>
              <w:spacing w:after="0" w:line="336" w:lineRule="auto"/>
              <w:ind w:firstLine="482" w:firstLineChars="200"/>
              <w:jc w:val="both"/>
              <w:rPr>
                <w:rFonts w:hint="eastAsia" w:ascii="Times New Roman" w:hAnsi="Times New Roman" w:eastAsia="宋体"/>
                <w:b/>
                <w:color w:val="auto"/>
                <w:kern w:val="2"/>
                <w:sz w:val="24"/>
                <w:szCs w:val="24"/>
                <w:lang w:val="en-US" w:eastAsia="zh-CN"/>
              </w:rPr>
            </w:pPr>
          </w:p>
          <w:p>
            <w:pPr>
              <w:widowControl w:val="0"/>
              <w:adjustRightInd/>
              <w:snapToGrid/>
              <w:spacing w:after="0" w:line="336" w:lineRule="auto"/>
              <w:ind w:firstLine="482" w:firstLineChars="200"/>
              <w:jc w:val="both"/>
              <w:rPr>
                <w:rFonts w:hint="eastAsia" w:ascii="Times New Roman" w:hAnsi="Times New Roman" w:eastAsia="宋体" w:cs="Times New Roman"/>
                <w:b/>
                <w:color w:val="auto"/>
                <w:kern w:val="2"/>
                <w:sz w:val="24"/>
                <w:szCs w:val="24"/>
                <w:lang w:val="en-US" w:eastAsia="zh-CN"/>
              </w:rPr>
            </w:pPr>
            <w:r>
              <w:rPr>
                <w:rFonts w:hint="eastAsia" w:ascii="Times New Roman" w:hAnsi="Times New Roman" w:eastAsia="宋体" w:cs="Times New Roman"/>
                <w:b/>
                <w:color w:val="auto"/>
                <w:kern w:val="2"/>
                <w:sz w:val="24"/>
                <w:szCs w:val="24"/>
                <w:lang w:val="en-US" w:eastAsia="zh-CN"/>
              </w:rPr>
              <w:t>3、项目基本情况</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项目名称：</w:t>
            </w:r>
            <w:r>
              <w:rPr>
                <w:rFonts w:hint="eastAsia" w:ascii="Times New Roman" w:hAnsi="Times New Roman" w:eastAsia="宋体" w:cs="Times New Roman"/>
                <w:color w:val="auto"/>
                <w:sz w:val="24"/>
                <w:szCs w:val="24"/>
              </w:rPr>
              <w:t>宁波莱堡制冷设备有限公司年产10万台电机生产线技改项目</w:t>
            </w:r>
          </w:p>
          <w:p>
            <w:pPr>
              <w:widowControl w:val="0"/>
              <w:adjustRightInd/>
              <w:snapToGrid/>
              <w:spacing w:after="0" w:line="336"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建设性质：</w:t>
            </w:r>
            <w:r>
              <w:rPr>
                <w:rFonts w:hint="eastAsia" w:ascii="Times New Roman" w:hAnsi="Times New Roman" w:eastAsia="宋体" w:cs="Times New Roman"/>
                <w:color w:val="auto"/>
                <w:sz w:val="24"/>
                <w:szCs w:val="24"/>
                <w:lang w:val="en-US" w:eastAsia="zh-CN"/>
              </w:rPr>
              <w:t>技改</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设计规模：</w:t>
            </w:r>
            <w:r>
              <w:rPr>
                <w:rFonts w:hint="eastAsia" w:ascii="Times New Roman" w:hAnsi="Times New Roman" w:eastAsia="宋体" w:cs="Times New Roman"/>
                <w:color w:val="auto"/>
                <w:sz w:val="24"/>
                <w:szCs w:val="24"/>
              </w:rPr>
              <w:t>年产10万台电机</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建设规模：</w:t>
            </w:r>
            <w:r>
              <w:rPr>
                <w:rFonts w:hint="eastAsia" w:ascii="Times New Roman" w:hAnsi="Times New Roman" w:eastAsia="宋体" w:cs="Times New Roman"/>
                <w:color w:val="auto"/>
                <w:sz w:val="24"/>
                <w:szCs w:val="24"/>
              </w:rPr>
              <w:t>年产10万台电机</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建设地点：宁波市海曙区洞桥镇洞</w:t>
            </w:r>
            <w:r>
              <w:rPr>
                <w:rFonts w:hint="eastAsia" w:ascii="Times New Roman" w:hAnsi="Times New Roman" w:eastAsia="宋体" w:cs="Times New Roman"/>
                <w:color w:val="auto"/>
                <w:sz w:val="24"/>
                <w:szCs w:val="24"/>
                <w:lang w:val="en-US" w:eastAsia="zh-CN"/>
              </w:rPr>
              <w:t>北</w:t>
            </w:r>
            <w:r>
              <w:rPr>
                <w:rFonts w:ascii="Times New Roman" w:hAnsi="Times New Roman" w:eastAsia="宋体" w:cs="Times New Roman"/>
                <w:color w:val="auto"/>
                <w:sz w:val="24"/>
                <w:szCs w:val="24"/>
              </w:rPr>
              <w:t>路</w:t>
            </w:r>
            <w:r>
              <w:rPr>
                <w:rFonts w:hint="eastAsia" w:ascii="Times New Roman" w:hAnsi="Times New Roman" w:eastAsia="宋体" w:cs="Times New Roman"/>
                <w:color w:val="auto"/>
                <w:sz w:val="24"/>
                <w:szCs w:val="24"/>
                <w:lang w:val="en-US" w:eastAsia="zh-CN"/>
              </w:rPr>
              <w:t>22</w:t>
            </w:r>
            <w:r>
              <w:rPr>
                <w:rFonts w:ascii="Times New Roman" w:hAnsi="Times New Roman" w:eastAsia="宋体" w:cs="Times New Roman"/>
                <w:color w:val="auto"/>
                <w:sz w:val="24"/>
                <w:szCs w:val="24"/>
              </w:rPr>
              <w:t>号</w:t>
            </w:r>
          </w:p>
          <w:p>
            <w:pPr>
              <w:widowControl w:val="0"/>
              <w:adjustRightInd/>
              <w:snapToGrid/>
              <w:spacing w:after="0"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劳动定员及生产班次：</w:t>
            </w:r>
            <w:r>
              <w:rPr>
                <w:rFonts w:hint="eastAsia" w:ascii="Times New Roman" w:hAnsi="Times New Roman" w:eastAsia="宋体" w:cs="Times New Roman"/>
                <w:color w:val="auto"/>
                <w:sz w:val="24"/>
                <w:szCs w:val="24"/>
              </w:rPr>
              <w:t>项目员工由原厂区调配，不新增员工，实行白班8h工作制，夜间不生产，年工作300天。不提供食宿。</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lang w:val="en-US" w:eastAsia="zh-CN"/>
              </w:rPr>
              <w:t>4</w:t>
            </w:r>
            <w:r>
              <w:rPr>
                <w:rFonts w:ascii="Times New Roman" w:hAnsi="Times New Roman" w:eastAsia="宋体"/>
                <w:b/>
                <w:color w:val="auto"/>
                <w:kern w:val="2"/>
                <w:sz w:val="24"/>
                <w:szCs w:val="24"/>
              </w:rPr>
              <w:t>、项目内容及生产规模</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企业具体产品方案详见下表。</w:t>
            </w:r>
          </w:p>
          <w:p>
            <w:pPr>
              <w:widowControl w:val="0"/>
              <w:adjustRightInd/>
              <w:snapToGrid/>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表2</w:t>
            </w:r>
            <w:r>
              <w:rPr>
                <w:rFonts w:hint="eastAsia" w:ascii="Times New Roman" w:hAnsi="Times New Roman" w:eastAsia="宋体"/>
                <w:b/>
                <w:bCs/>
                <w:color w:val="auto"/>
                <w:kern w:val="2"/>
                <w:sz w:val="21"/>
                <w:szCs w:val="21"/>
              </w:rPr>
              <w:t>-</w:t>
            </w:r>
            <w:r>
              <w:rPr>
                <w:rFonts w:hint="eastAsia" w:ascii="Times New Roman" w:hAnsi="Times New Roman" w:eastAsia="宋体"/>
                <w:b/>
                <w:bCs/>
                <w:color w:val="auto"/>
                <w:kern w:val="2"/>
                <w:sz w:val="21"/>
                <w:szCs w:val="21"/>
                <w:lang w:val="en-US" w:eastAsia="zh-CN"/>
              </w:rPr>
              <w:t xml:space="preserve">2 </w:t>
            </w:r>
            <w:r>
              <w:rPr>
                <w:rFonts w:ascii="Times New Roman" w:hAnsi="Times New Roman" w:eastAsia="宋体"/>
                <w:b/>
                <w:bCs/>
                <w:color w:val="auto"/>
                <w:kern w:val="2"/>
                <w:sz w:val="21"/>
                <w:szCs w:val="21"/>
              </w:rPr>
              <w:t>项目产品及产能</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3213"/>
              <w:gridCol w:w="4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3" w:type="pct"/>
                  <w:noWrap w:val="0"/>
                  <w:vAlign w:val="center"/>
                </w:tcPr>
                <w:p>
                  <w:pPr>
                    <w:adjustRightInd/>
                    <w:snapToGrid/>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产品名称</w:t>
                  </w:r>
                </w:p>
              </w:tc>
              <w:tc>
                <w:tcPr>
                  <w:tcW w:w="1771" w:type="pct"/>
                  <w:noWrap w:val="0"/>
                  <w:vAlign w:val="center"/>
                </w:tcPr>
                <w:p>
                  <w:pPr>
                    <w:adjustRightInd/>
                    <w:snapToGrid/>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审批年产能（</w:t>
                  </w:r>
                  <w:r>
                    <w:rPr>
                      <w:rFonts w:hint="eastAsia" w:ascii="Times New Roman" w:hAnsi="Times New Roman" w:eastAsia="宋体" w:cs="Times New Roman"/>
                      <w:color w:val="auto"/>
                      <w:sz w:val="21"/>
                      <w:szCs w:val="21"/>
                      <w:lang w:val="en-US" w:eastAsia="zh-CN"/>
                    </w:rPr>
                    <w:t>台</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rPr>
                    <w:t>）</w:t>
                  </w:r>
                </w:p>
              </w:tc>
              <w:tc>
                <w:tcPr>
                  <w:tcW w:w="2315" w:type="pct"/>
                  <w:noWrap w:val="0"/>
                  <w:vAlign w:val="center"/>
                </w:tcPr>
                <w:p>
                  <w:pPr>
                    <w:adjustRightInd/>
                    <w:snapToGrid/>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验收核定最大产能（</w:t>
                  </w:r>
                  <w:r>
                    <w:rPr>
                      <w:rFonts w:hint="eastAsia" w:ascii="Times New Roman" w:hAnsi="Times New Roman" w:eastAsia="宋体" w:cs="Times New Roman"/>
                      <w:color w:val="auto"/>
                      <w:sz w:val="21"/>
                      <w:szCs w:val="21"/>
                      <w:lang w:val="en-US" w:eastAsia="zh-CN"/>
                    </w:rPr>
                    <w:t>台</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913" w:type="pct"/>
                  <w:noWrap w:val="0"/>
                  <w:vAlign w:val="center"/>
                </w:tcPr>
                <w:p>
                  <w:pPr>
                    <w:adjustRightInd/>
                    <w:snapToGrid/>
                    <w:spacing w:after="0"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电机</w:t>
                  </w:r>
                </w:p>
              </w:tc>
              <w:tc>
                <w:tcPr>
                  <w:tcW w:w="1771" w:type="pct"/>
                  <w:noWrap w:val="0"/>
                  <w:vAlign w:val="center"/>
                </w:tcPr>
                <w:p>
                  <w:pPr>
                    <w:adjustRightInd/>
                    <w:snapToGrid/>
                    <w:spacing w:after="0"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10万</w:t>
                  </w:r>
                </w:p>
              </w:tc>
              <w:tc>
                <w:tcPr>
                  <w:tcW w:w="2315" w:type="pct"/>
                  <w:noWrap w:val="0"/>
                  <w:vAlign w:val="center"/>
                </w:tcPr>
                <w:p>
                  <w:pPr>
                    <w:adjustRightInd/>
                    <w:snapToGrid/>
                    <w:spacing w:after="0" w:line="240" w:lineRule="auto"/>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10万</w:t>
                  </w:r>
                </w:p>
              </w:tc>
            </w:tr>
          </w:tbl>
          <w:p>
            <w:pPr>
              <w:widowControl w:val="0"/>
              <w:adjustRightInd/>
              <w:snapToGrid/>
              <w:spacing w:after="0" w:line="336" w:lineRule="auto"/>
              <w:ind w:firstLine="482" w:firstLineChars="200"/>
              <w:jc w:val="both"/>
              <w:rPr>
                <w:rFonts w:ascii="Times New Roman" w:hAnsi="Times New Roman" w:eastAsia="宋体"/>
                <w:b/>
                <w:bCs/>
                <w:color w:val="auto"/>
                <w:sz w:val="21"/>
                <w:szCs w:val="21"/>
              </w:rPr>
            </w:pPr>
            <w:r>
              <w:rPr>
                <w:rFonts w:hint="eastAsia" w:ascii="Times New Roman" w:hAnsi="Times New Roman" w:eastAsia="宋体"/>
                <w:b/>
                <w:color w:val="auto"/>
                <w:kern w:val="2"/>
                <w:sz w:val="24"/>
                <w:szCs w:val="24"/>
                <w:lang w:val="en-US" w:eastAsia="zh-CN"/>
              </w:rPr>
              <w:t>5</w:t>
            </w:r>
            <w:r>
              <w:rPr>
                <w:rFonts w:ascii="Times New Roman" w:hAnsi="Times New Roman" w:eastAsia="宋体"/>
                <w:b/>
                <w:color w:val="auto"/>
                <w:kern w:val="2"/>
                <w:sz w:val="24"/>
                <w:szCs w:val="24"/>
              </w:rPr>
              <w:t>、项目工程组成</w:t>
            </w:r>
            <w:r>
              <w:rPr>
                <w:rFonts w:ascii="Times New Roman" w:hAnsi="Times New Roman" w:eastAsia="宋体"/>
                <w:b/>
                <w:bCs/>
                <w:color w:val="auto"/>
                <w:sz w:val="21"/>
                <w:szCs w:val="21"/>
              </w:rPr>
              <w:t>表</w:t>
            </w:r>
          </w:p>
          <w:p>
            <w:pPr>
              <w:widowControl w:val="0"/>
              <w:adjustRightInd/>
              <w:snapToGrid/>
              <w:spacing w:after="0" w:line="336"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本项目工程组成详见下表。</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 xml:space="preserve">3 </w:t>
            </w:r>
            <w:r>
              <w:rPr>
                <w:rFonts w:ascii="Times New Roman" w:hAnsi="Times New Roman" w:eastAsia="宋体"/>
                <w:b/>
                <w:bCs/>
                <w:color w:val="auto"/>
                <w:sz w:val="21"/>
                <w:szCs w:val="21"/>
              </w:rPr>
              <w:t>项目组成一览表</w:t>
            </w:r>
          </w:p>
          <w:tbl>
            <w:tblPr>
              <w:tblStyle w:val="11"/>
              <w:tblW w:w="500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57"/>
              <w:gridCol w:w="1181"/>
              <w:gridCol w:w="3720"/>
              <w:gridCol w:w="37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名称</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工程类别</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环评设计</w:t>
                  </w:r>
                  <w:r>
                    <w:rPr>
                      <w:rFonts w:ascii="Times New Roman" w:hAnsi="Times New Roman" w:eastAsia="宋体" w:cs="Times New Roman"/>
                      <w:color w:val="auto"/>
                      <w:sz w:val="21"/>
                      <w:szCs w:val="21"/>
                      <w:lang w:eastAsia="zh-CN"/>
                    </w:rPr>
                    <w:t>工程内容</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实际建设内容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restar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外壳机加工</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依托现有机加工设备</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酸洗磷化线</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在现有喷塑车间北部区域配置1条酸洗磷化线</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硅烷流水线</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在现有喷塑车间北部区域设配置1条硅烷线（酸洗磷化线东侧紧邻）</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喷塑流水线</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在现有7#楼左侧钢棚结构内配置1条喷塑流水线</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超声波清洗、浸漆</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在现有2#楼3楼配置1台超声波清洗机、2个浸漆槽（各配套1个晾干台）</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trPr>
              <w:tc>
                <w:tcPr>
                  <w:tcW w:w="252"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辅助工程</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办公室</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依托现有，位于6#楼</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restar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储运工程</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原料存储</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依托现有，位于2#楼1F左侧仓库，面积约600m</w:t>
                  </w:r>
                  <w:r>
                    <w:rPr>
                      <w:rFonts w:hint="default" w:ascii="Times New Roman" w:hAnsi="Times New Roman" w:eastAsia="宋体" w:cs="Times New Roman"/>
                      <w:color w:val="auto"/>
                      <w:sz w:val="21"/>
                      <w:szCs w:val="21"/>
                      <w:vertAlign w:val="superscript"/>
                      <w:lang w:eastAsia="zh-CN"/>
                    </w:rPr>
                    <w:t>2</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化学品贮存间</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依托现有，位于2#楼1F左侧仓库，面积约20m</w:t>
                  </w:r>
                  <w:r>
                    <w:rPr>
                      <w:rFonts w:hint="default" w:ascii="Times New Roman" w:hAnsi="Times New Roman" w:eastAsia="宋体" w:cs="Times New Roman"/>
                      <w:color w:val="auto"/>
                      <w:sz w:val="21"/>
                      <w:szCs w:val="21"/>
                      <w:vertAlign w:val="superscript"/>
                      <w:lang w:eastAsia="zh-CN"/>
                    </w:rPr>
                    <w:t>2</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半成品/成品仓库</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依托现有，位于2#楼1F左侧仓库，面积约600m</w:t>
                  </w:r>
                  <w:r>
                    <w:rPr>
                      <w:rFonts w:hint="default" w:ascii="Times New Roman" w:hAnsi="Times New Roman" w:eastAsia="宋体" w:cs="Times New Roman"/>
                      <w:color w:val="auto"/>
                      <w:sz w:val="21"/>
                      <w:szCs w:val="21"/>
                      <w:vertAlign w:val="superscript"/>
                      <w:lang w:eastAsia="zh-CN"/>
                    </w:rPr>
                    <w:t>2</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restar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公用工程</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供电</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依托现有，由市政供电系统提供</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供水</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依托现有，由市政供水系统供给</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排水</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本项目新增硅烷化表面处理、超声波清洗、酸洗磷化表面处理工艺纳管后方可运行，新增生产废水经厂内污水处理站处理达标后纳管排放。</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已完成纳管并取得排水许可证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供气</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新增，喷漆流水线上的固化烘干采用天然气燃烧加热，气源采用市政管道天然气</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restar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废气治理</w:t>
                  </w:r>
                </w:p>
              </w:tc>
              <w:tc>
                <w:tcPr>
                  <w:tcW w:w="2048" w:type="pct"/>
                  <w:tcBorders>
                    <w:tl2br w:val="nil"/>
                    <w:tr2bl w:val="nil"/>
                  </w:tcBorders>
                  <w:noWrap w:val="0"/>
                  <w:vAlign w:val="center"/>
                </w:tcPr>
                <w:p>
                  <w:pPr>
                    <w:widowControl/>
                    <w:adjustRightInd/>
                    <w:snapToGrid/>
                    <w:spacing w:after="0"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1、针对新增的酸洗磷化线酸雾废气通过顶吸风+侧吸风后通过新增1套二级碱液喷淋吸收塔，处理风量为8000m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h，处理工艺为碱液中和吸收。2、针对新增浸漆与晾干工艺产生的有机废气新增1套二级活性炭装置，处理风量为10000m³/h，处理工艺为活性炭吸附。3、针对新增喷塑线产生的喷塑粉尘，通过喷塑柜自带吸风装置与滤网捕集装置收集粉尘，处理风量为10000m³/h，处理工艺为滤网捕集过滤。4、固化废气收集后直接接入喷塑粉尘废气排气筒一同排放。5、气枪吹尘粉尘产生量较少，无组织排放。</w:t>
                  </w:r>
                </w:p>
              </w:tc>
              <w:tc>
                <w:tcPr>
                  <w:tcW w:w="2049" w:type="pct"/>
                  <w:tcBorders>
                    <w:tl2br w:val="nil"/>
                    <w:tr2bl w:val="nil"/>
                  </w:tcBorders>
                  <w:noWrap w:val="0"/>
                  <w:vAlign w:val="center"/>
                </w:tcPr>
                <w:p>
                  <w:pPr>
                    <w:widowControl/>
                    <w:adjustRightInd/>
                    <w:snapToGrid/>
                    <w:spacing w:after="0"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固化废气收集后</w:t>
                  </w:r>
                  <w:r>
                    <w:rPr>
                      <w:rFonts w:hint="eastAsia" w:ascii="Times New Roman" w:hAnsi="Times New Roman" w:eastAsia="宋体" w:cs="Times New Roman"/>
                      <w:color w:val="auto"/>
                      <w:sz w:val="21"/>
                      <w:szCs w:val="21"/>
                      <w:lang w:val="en-US" w:eastAsia="zh-CN"/>
                    </w:rPr>
                    <w:t>不与</w:t>
                  </w:r>
                  <w:r>
                    <w:rPr>
                      <w:rFonts w:hint="default" w:ascii="Times New Roman" w:hAnsi="Times New Roman" w:eastAsia="宋体" w:cs="Times New Roman"/>
                      <w:color w:val="auto"/>
                      <w:sz w:val="21"/>
                      <w:szCs w:val="21"/>
                      <w:lang w:eastAsia="zh-CN"/>
                    </w:rPr>
                    <w:t>喷塑粉尘废气</w:t>
                  </w:r>
                  <w:r>
                    <w:rPr>
                      <w:rFonts w:hint="eastAsia" w:ascii="Times New Roman" w:hAnsi="Times New Roman" w:eastAsia="宋体" w:cs="Times New Roman"/>
                      <w:color w:val="auto"/>
                      <w:sz w:val="21"/>
                      <w:szCs w:val="21"/>
                      <w:lang w:val="en-US" w:eastAsia="zh-CN"/>
                    </w:rPr>
                    <w:t>混合，固化废气和燃烧废气混合通入一级活性炭吸附装置处理后高空排放。喷塑粉尘处理方式实际采用“旋风+滤芯除尘”处理。其他废气收集处理方式与环评一致。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废水治理</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硅烷化、超声波清洗以及酸洗磷化工序纳管前不得运行；远期纳管后生产废水经厂内自建废水处理站处理达标后排入市政污水管网</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val="en-US" w:eastAsia="zh-CN"/>
                    </w:rPr>
                    <w:t>已完成纳管并取得排水许可证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固废治理</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依托厂区内现有的危废暂存间，面积约50m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，位于厂区东北侧。</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新建危废暂存间面积约25平方米，</w:t>
                  </w:r>
                  <w:r>
                    <w:rPr>
                      <w:rFonts w:hint="default" w:ascii="Times New Roman" w:hAnsi="Times New Roman" w:eastAsia="宋体" w:cs="Times New Roman"/>
                      <w:color w:val="auto"/>
                      <w:sz w:val="21"/>
                      <w:szCs w:val="21"/>
                      <w:lang w:eastAsia="zh-CN"/>
                    </w:rPr>
                    <w:t>位于厂区北侧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噪声治理</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合理布局、减震垫、隔声窗等降噪措施</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52" w:type="pct"/>
                  <w:vMerge w:val="continue"/>
                  <w:tcBorders>
                    <w:tl2br w:val="nil"/>
                    <w:tr2bl w:val="nil"/>
                  </w:tcBorders>
                  <w:noWrap w:val="0"/>
                  <w:vAlign w:val="center"/>
                </w:tcPr>
                <w:p>
                  <w:pPr>
                    <w:widowControl/>
                    <w:adjustRightInd/>
                    <w:snapToGrid/>
                    <w:spacing w:after="0" w:line="240" w:lineRule="auto"/>
                    <w:jc w:val="center"/>
                    <w:rPr>
                      <w:rFonts w:ascii="Times New Roman" w:hAnsi="Times New Roman" w:eastAsia="宋体" w:cs="Times New Roman"/>
                      <w:color w:val="auto"/>
                      <w:sz w:val="21"/>
                      <w:szCs w:val="21"/>
                      <w:lang w:eastAsia="zh-CN"/>
                    </w:rPr>
                  </w:pPr>
                </w:p>
              </w:tc>
              <w:tc>
                <w:tcPr>
                  <w:tcW w:w="650"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风险防范措施</w:t>
                  </w:r>
                </w:p>
              </w:tc>
              <w:tc>
                <w:tcPr>
                  <w:tcW w:w="2048"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落实风险单元三防措施，配备应急物资，落实应急制度</w:t>
                  </w:r>
                </w:p>
              </w:tc>
              <w:tc>
                <w:tcPr>
                  <w:tcW w:w="2049" w:type="pct"/>
                  <w:tcBorders>
                    <w:tl2br w:val="nil"/>
                    <w:tr2bl w:val="nil"/>
                  </w:tcBorders>
                  <w:noWrap w:val="0"/>
                  <w:vAlign w:val="center"/>
                </w:tcPr>
                <w:p>
                  <w:pPr>
                    <w:widowControl/>
                    <w:adjustRightInd/>
                    <w:snapToGrid/>
                    <w:spacing w:after="0"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rPr>
                    <w:t>与环评一致</w:t>
                  </w:r>
                </w:p>
              </w:tc>
            </w:tr>
          </w:tbl>
          <w:p>
            <w:pPr>
              <w:widowControl w:val="0"/>
              <w:adjustRightInd/>
              <w:snapToGrid/>
              <w:spacing w:after="0" w:line="336" w:lineRule="auto"/>
              <w:ind w:firstLine="562" w:firstLineChars="200"/>
              <w:jc w:val="both"/>
              <w:rPr>
                <w:rFonts w:ascii="Times New Roman" w:hAnsi="Times New Roman" w:eastAsia="宋体" w:cs="Times New Roman"/>
                <w:b/>
                <w:color w:val="auto"/>
                <w:kern w:val="2"/>
                <w:sz w:val="28"/>
                <w:szCs w:val="28"/>
              </w:rPr>
            </w:pPr>
            <w:r>
              <w:rPr>
                <w:rFonts w:hint="eastAsia" w:ascii="Times New Roman" w:hAnsi="Times New Roman" w:eastAsia="宋体" w:cs="Times New Roman"/>
                <w:b/>
                <w:color w:val="auto"/>
                <w:kern w:val="2"/>
                <w:sz w:val="28"/>
                <w:szCs w:val="28"/>
              </w:rPr>
              <w:t>2.</w:t>
            </w:r>
            <w:r>
              <w:rPr>
                <w:rFonts w:hint="eastAsia" w:ascii="Times New Roman" w:hAnsi="Times New Roman" w:eastAsia="宋体" w:cs="Times New Roman"/>
                <w:b/>
                <w:color w:val="auto"/>
                <w:kern w:val="2"/>
                <w:sz w:val="28"/>
                <w:szCs w:val="28"/>
                <w:lang w:val="en-US" w:eastAsia="zh-CN"/>
              </w:rPr>
              <w:t>2主要生产设备</w:t>
            </w:r>
            <w:r>
              <w:rPr>
                <w:rFonts w:ascii="Times New Roman" w:hAnsi="Times New Roman" w:eastAsia="宋体" w:cs="Times New Roman"/>
                <w:b/>
                <w:color w:val="auto"/>
                <w:kern w:val="2"/>
                <w:sz w:val="28"/>
                <w:szCs w:val="28"/>
              </w:rPr>
              <w:t>：</w:t>
            </w:r>
          </w:p>
          <w:p>
            <w:pPr>
              <w:widowControl w:val="0"/>
              <w:adjustRightInd/>
              <w:snapToGrid/>
              <w:spacing w:after="0" w:line="336" w:lineRule="auto"/>
              <w:ind w:firstLine="480" w:firstLineChars="200"/>
              <w:rPr>
                <w:rFonts w:ascii="Times New Roman" w:hAnsi="Times New Roman" w:eastAsia="宋体"/>
                <w:b/>
                <w:color w:val="auto"/>
                <w:kern w:val="2"/>
                <w:sz w:val="24"/>
                <w:szCs w:val="24"/>
              </w:rPr>
            </w:pPr>
            <w:r>
              <w:rPr>
                <w:rFonts w:ascii="Times New Roman" w:hAnsi="Times New Roman" w:eastAsia="宋体"/>
                <w:color w:val="auto"/>
                <w:sz w:val="24"/>
              </w:rPr>
              <w:t>本项目主要生产设备清单详见下表。</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 xml:space="preserve">4 </w:t>
            </w:r>
            <w:r>
              <w:rPr>
                <w:rFonts w:ascii="Times New Roman" w:hAnsi="Times New Roman" w:eastAsia="宋体"/>
                <w:b/>
                <w:bCs/>
                <w:color w:val="auto"/>
                <w:sz w:val="21"/>
                <w:szCs w:val="21"/>
              </w:rPr>
              <w:t>主要生产设备清单一览表</w:t>
            </w:r>
          </w:p>
          <w:tbl>
            <w:tblPr>
              <w:tblStyle w:val="11"/>
              <w:tblW w:w="9068" w:type="dxa"/>
              <w:tblInd w:w="0" w:type="dxa"/>
              <w:tblLayout w:type="autofit"/>
              <w:tblCellMar>
                <w:top w:w="0" w:type="dxa"/>
                <w:left w:w="0" w:type="dxa"/>
                <w:bottom w:w="0" w:type="dxa"/>
                <w:right w:w="0" w:type="dxa"/>
              </w:tblCellMar>
            </w:tblPr>
            <w:tblGrid>
              <w:gridCol w:w="610"/>
              <w:gridCol w:w="1735"/>
              <w:gridCol w:w="762"/>
              <w:gridCol w:w="579"/>
              <w:gridCol w:w="5382"/>
            </w:tblGrid>
            <w:tr>
              <w:trPr>
                <w:trHeight w:val="23" w:hRule="atLeast"/>
              </w:trPr>
              <w:tc>
                <w:tcPr>
                  <w:tcW w:w="337" w:type="pct"/>
                  <w:tcBorders>
                    <w:top w:val="single" w:color="000000" w:sz="12"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56" w:type="pct"/>
                  <w:tcBorders>
                    <w:top w:val="single" w:color="000000" w:sz="12"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420" w:type="pct"/>
                  <w:tcBorders>
                    <w:top w:val="single" w:color="000000" w:sz="12"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环评设计数量</w:t>
                  </w:r>
                </w:p>
              </w:tc>
              <w:tc>
                <w:tcPr>
                  <w:tcW w:w="319" w:type="pct"/>
                  <w:tcBorders>
                    <w:top w:val="single" w:color="000000" w:sz="12"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s="Times New Roman"/>
                      <w:color w:val="auto"/>
                      <w:sz w:val="21"/>
                      <w:szCs w:val="21"/>
                    </w:rPr>
                    <w:t>实际数量</w:t>
                  </w:r>
                </w:p>
              </w:tc>
              <w:tc>
                <w:tcPr>
                  <w:tcW w:w="2966" w:type="pct"/>
                  <w:tcBorders>
                    <w:top w:val="single" w:color="000000" w:sz="12"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1</w:t>
                  </w:r>
                </w:p>
              </w:tc>
              <w:tc>
                <w:tcPr>
                  <w:tcW w:w="956"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浸漆-晾干一体机</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2966" w:type="pct"/>
                  <w:tcBorders>
                    <w:top w:val="single" w:color="000000" w:sz="4"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浸漆槽尺寸为3.5m×0.2m×0.3m</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2</w:t>
                  </w:r>
                </w:p>
              </w:tc>
              <w:tc>
                <w:tcPr>
                  <w:tcW w:w="956"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超声波清洗机</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2966" w:type="pct"/>
                  <w:tcBorders>
                    <w:top w:val="single" w:color="000000" w:sz="4"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槽体规格为0.9m×0.7m×0.66m</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3</w:t>
                  </w:r>
                </w:p>
              </w:tc>
              <w:tc>
                <w:tcPr>
                  <w:tcW w:w="956"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喷塑流水线</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2966" w:type="pct"/>
                  <w:tcBorders>
                    <w:top w:val="single" w:color="000000" w:sz="4"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含2个自动喷塑柜（1用1备，每个自动喷塑柜两侧各设置1个补喷台）、1个手工喷塑台（闲置）、1个烘道</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4</w:t>
                  </w:r>
                </w:p>
              </w:tc>
              <w:tc>
                <w:tcPr>
                  <w:tcW w:w="956"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酸洗磷化线</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2966" w:type="pct"/>
                  <w:tcBorders>
                    <w:top w:val="single" w:color="000000" w:sz="4"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含脱脂槽、酸洗槽、中和槽、表调槽、磷化槽各1个，清洗槽3个</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5</w:t>
                  </w:r>
                </w:p>
              </w:tc>
              <w:tc>
                <w:tcPr>
                  <w:tcW w:w="956"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硅烷化喷淋线</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1条</w:t>
                  </w:r>
                </w:p>
              </w:tc>
              <w:tc>
                <w:tcPr>
                  <w:tcW w:w="2966" w:type="pct"/>
                  <w:tcBorders>
                    <w:top w:val="single" w:color="000000" w:sz="4" w:space="0"/>
                    <w:left w:val="single" w:color="000000" w:sz="4" w:space="0"/>
                    <w:bottom w:val="single" w:color="000000" w:sz="4" w:space="0"/>
                    <w:right w:val="single" w:color="000000" w:sz="8"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喷淋线分预脱脂区、主脱脂区、清洗区、清洗区、清洗区、硅烷化区、清洗区、清洗区8个区</w:t>
                  </w:r>
                </w:p>
              </w:tc>
            </w:tr>
            <w:tr>
              <w:tblPrEx>
                <w:tblCellMar>
                  <w:top w:w="0" w:type="dxa"/>
                  <w:left w:w="0" w:type="dxa"/>
                  <w:bottom w:w="0" w:type="dxa"/>
                  <w:right w:w="0" w:type="dxa"/>
                </w:tblCellMar>
              </w:tblPrEx>
              <w:trPr>
                <w:trHeight w:val="23" w:hRule="atLeast"/>
              </w:trPr>
              <w:tc>
                <w:tcPr>
                  <w:tcW w:w="337" w:type="pct"/>
                  <w:tcBorders>
                    <w:top w:val="single" w:color="000000" w:sz="4" w:space="0"/>
                    <w:left w:val="nil"/>
                    <w:bottom w:val="single" w:color="000000" w:sz="12"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ascii="Times New Roman" w:hAnsi="Times New Roman" w:eastAsia="宋体"/>
                      <w:color w:val="auto"/>
                      <w:sz w:val="21"/>
                      <w:szCs w:val="21"/>
                    </w:rPr>
                    <w:t>6</w:t>
                  </w:r>
                </w:p>
              </w:tc>
              <w:tc>
                <w:tcPr>
                  <w:tcW w:w="956" w:type="pct"/>
                  <w:tcBorders>
                    <w:top w:val="single" w:color="000000" w:sz="4" w:space="0"/>
                    <w:left w:val="single" w:color="000000" w:sz="4" w:space="0"/>
                    <w:bottom w:val="single" w:color="000000" w:sz="12"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天然气燃烧机</w:t>
                  </w:r>
                </w:p>
              </w:tc>
              <w:tc>
                <w:tcPr>
                  <w:tcW w:w="420" w:type="pct"/>
                  <w:tcBorders>
                    <w:top w:val="single" w:color="000000" w:sz="4" w:space="0"/>
                    <w:left w:val="single" w:color="000000" w:sz="4" w:space="0"/>
                    <w:bottom w:val="single" w:color="000000" w:sz="12"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319" w:type="pct"/>
                  <w:tcBorders>
                    <w:top w:val="single" w:color="000000" w:sz="4" w:space="0"/>
                    <w:left w:val="single" w:color="000000" w:sz="4" w:space="0"/>
                    <w:bottom w:val="single" w:color="000000" w:sz="12" w:space="0"/>
                    <w:right w:val="single" w:color="000000" w:sz="4" w:space="0"/>
                  </w:tcBorders>
                  <w:noWrap w:val="0"/>
                  <w:vAlign w:val="center"/>
                </w:tcPr>
                <w:p>
                  <w:pPr>
                    <w:widowControl w:val="0"/>
                    <w:adjustRightInd/>
                    <w:snapToGrid/>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2966" w:type="pct"/>
                  <w:tcBorders>
                    <w:top w:val="single" w:color="000000" w:sz="4" w:space="0"/>
                    <w:left w:val="single" w:color="000000" w:sz="4" w:space="0"/>
                    <w:bottom w:val="single" w:color="000000" w:sz="12" w:space="0"/>
                    <w:right w:val="single" w:color="000000" w:sz="8" w:space="0"/>
                  </w:tcBorders>
                  <w:noWrap w:val="0"/>
                  <w:vAlign w:val="center"/>
                </w:tcPr>
                <w:p>
                  <w:pPr>
                    <w:widowControl w:val="0"/>
                    <w:adjustRightInd/>
                    <w:snapToGrid/>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环评设计阶段</w:t>
                  </w:r>
                  <w:r>
                    <w:rPr>
                      <w:rFonts w:hint="eastAsia" w:ascii="Times New Roman" w:hAnsi="Times New Roman" w:eastAsia="宋体" w:cs="Times New Roman"/>
                      <w:color w:val="auto"/>
                      <w:sz w:val="21"/>
                      <w:szCs w:val="21"/>
                      <w:lang w:val="en-US" w:eastAsia="zh-CN"/>
                    </w:rPr>
                    <w:t>一台用于硅烷化供热，一台用于</w:t>
                  </w:r>
                  <w:r>
                    <w:rPr>
                      <w:rFonts w:hint="default" w:ascii="Times New Roman" w:hAnsi="Times New Roman" w:eastAsia="宋体" w:cs="Times New Roman"/>
                      <w:color w:val="auto"/>
                      <w:sz w:val="21"/>
                      <w:szCs w:val="21"/>
                    </w:rPr>
                    <w:t>喷塑后固化工序</w:t>
                  </w:r>
                  <w:r>
                    <w:rPr>
                      <w:rFonts w:hint="eastAsia" w:ascii="Times New Roman" w:hAnsi="Times New Roman" w:eastAsia="宋体" w:cs="Times New Roman"/>
                      <w:color w:val="auto"/>
                      <w:sz w:val="21"/>
                      <w:szCs w:val="21"/>
                      <w:lang w:val="en-US" w:eastAsia="zh-CN"/>
                    </w:rPr>
                    <w:t>供热。实际两台均</w:t>
                  </w:r>
                  <w:r>
                    <w:rPr>
                      <w:rFonts w:hint="default" w:ascii="Times New Roman" w:hAnsi="Times New Roman" w:eastAsia="宋体" w:cs="Times New Roman"/>
                      <w:color w:val="auto"/>
                      <w:sz w:val="21"/>
                      <w:szCs w:val="21"/>
                    </w:rPr>
                    <w:t>用于喷塑后固化工序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一备一用</w:t>
                  </w:r>
                  <w:r>
                    <w:rPr>
                      <w:rFonts w:hint="eastAsia" w:ascii="Times New Roman" w:hAnsi="Times New Roman" w:eastAsia="宋体" w:cs="Times New Roman"/>
                      <w:color w:val="auto"/>
                      <w:sz w:val="21"/>
                      <w:szCs w:val="21"/>
                      <w:lang w:eastAsia="zh-CN"/>
                    </w:rPr>
                    <w:t>）。</w:t>
                  </w:r>
                </w:p>
              </w:tc>
            </w:tr>
          </w:tbl>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 xml:space="preserve">5 </w:t>
            </w:r>
            <w:r>
              <w:rPr>
                <w:rFonts w:hint="eastAsia" w:ascii="Times New Roman" w:hAnsi="Times New Roman" w:eastAsia="宋体"/>
                <w:b/>
                <w:bCs/>
                <w:color w:val="auto"/>
                <w:sz w:val="21"/>
                <w:szCs w:val="21"/>
              </w:rPr>
              <w:t>酸洗磷化表面处理线参数表</w:t>
            </w:r>
          </w:p>
          <w:tbl>
            <w:tblPr>
              <w:tblStyle w:val="1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06"/>
              <w:gridCol w:w="468"/>
              <w:gridCol w:w="490"/>
              <w:gridCol w:w="713"/>
              <w:gridCol w:w="626"/>
              <w:gridCol w:w="1898"/>
              <w:gridCol w:w="835"/>
              <w:gridCol w:w="875"/>
              <w:gridCol w:w="2200"/>
              <w:gridCol w:w="6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vMerge w:val="restar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4466" w:type="pct"/>
                  <w:gridSpan w:val="8"/>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环评设计阶段</w:t>
                  </w:r>
                </w:p>
              </w:tc>
              <w:tc>
                <w:tcPr>
                  <w:tcW w:w="364" w:type="pct"/>
                  <w:vMerge w:val="restar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实际建设情况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vMerge w:val="continue"/>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名称</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处理方式</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处理温度℃</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处理时间</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尺寸（长×宽×高）</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数量（个）</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有效容积（m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槽液更换频率</w:t>
                  </w:r>
                </w:p>
              </w:tc>
              <w:tc>
                <w:tcPr>
                  <w:tcW w:w="364" w:type="pct"/>
                  <w:vMerge w:val="continue"/>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脱脂槽</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定期过滤捞渣，补充损耗，平均半年更换1次</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清水槽1</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1个月更换1次，无溢流</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酸洗槽</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定期过滤捞渣，补充损耗，循环使用不更换</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4</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清水槽2</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1个月更换1次，无溢流</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中和槽</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定期过滤捞渣，补充损耗，平均半年更换1次</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表调槽</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定期过滤捞渣，补充损耗，平均半年更换1次</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磷化槽</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both"/>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定期过滤捞渣，补充损耗，平均半年更换1次</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9"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8</w:t>
                  </w:r>
                </w:p>
              </w:tc>
              <w:tc>
                <w:tcPr>
                  <w:tcW w:w="258"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清水槽3</w:t>
                  </w:r>
                </w:p>
              </w:tc>
              <w:tc>
                <w:tcPr>
                  <w:tcW w:w="27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浸洗</w:t>
                  </w:r>
                </w:p>
              </w:tc>
              <w:tc>
                <w:tcPr>
                  <w:tcW w:w="393"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345"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1046"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1.96m×1.17m×1.20m</w:t>
                  </w:r>
                </w:p>
              </w:tc>
              <w:tc>
                <w:tcPr>
                  <w:tcW w:w="460"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482"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2.2</w:t>
                  </w:r>
                </w:p>
              </w:tc>
              <w:tc>
                <w:tcPr>
                  <w:tcW w:w="1210" w:type="pct"/>
                  <w:tcBorders>
                    <w:tl2br w:val="nil"/>
                    <w:tr2bl w:val="nil"/>
                  </w:tcBorders>
                  <w:noWrap w:val="0"/>
                  <w:vAlign w:val="center"/>
                </w:tcPr>
                <w:p>
                  <w:pPr>
                    <w:widowControl/>
                    <w:adjustRightInd/>
                    <w:snapToGrid/>
                    <w:spacing w:after="0" w:line="240" w:lineRule="auto"/>
                    <w:jc w:val="both"/>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1个月更换1次，无溢流</w:t>
                  </w:r>
                </w:p>
              </w:tc>
              <w:tc>
                <w:tcPr>
                  <w:tcW w:w="364" w:type="pc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bl>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 xml:space="preserve">6 </w:t>
            </w:r>
            <w:r>
              <w:rPr>
                <w:rFonts w:hint="eastAsia" w:ascii="Times New Roman" w:hAnsi="Times New Roman" w:eastAsia="宋体"/>
                <w:b/>
                <w:bCs/>
                <w:color w:val="auto"/>
                <w:sz w:val="21"/>
                <w:szCs w:val="21"/>
              </w:rPr>
              <w:t>硅烷化表面处理线参数表</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1"/>
              <w:gridCol w:w="459"/>
              <w:gridCol w:w="475"/>
              <w:gridCol w:w="699"/>
              <w:gridCol w:w="629"/>
              <w:gridCol w:w="1840"/>
              <w:gridCol w:w="833"/>
              <w:gridCol w:w="1048"/>
              <w:gridCol w:w="2080"/>
              <w:gridCol w:w="6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vMerge w:val="restar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0" w:type="auto"/>
                  <w:gridSpan w:val="8"/>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环评设计阶段</w:t>
                  </w:r>
                </w:p>
              </w:tc>
              <w:tc>
                <w:tcPr>
                  <w:tcW w:w="0" w:type="auto"/>
                  <w:vMerge w:val="restart"/>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实际建设情况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vMerge w:val="continue"/>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名称</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处理方式</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处理温度℃</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处理时间</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尺寸（长×宽×高）</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数量（个）</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有效容积（m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eastAsia="zh-CN"/>
                    </w:rPr>
                    <w:t>槽液更换频率</w:t>
                  </w:r>
                </w:p>
              </w:tc>
              <w:tc>
                <w:tcPr>
                  <w:tcW w:w="0" w:type="auto"/>
                  <w:vMerge w:val="continue"/>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1</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预脱脂</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1.90m×1.28×0.95m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2.31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3-4个月更换1次</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2</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主脱脂</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55~60</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1.90m×2.50m×0.95m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4.51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3-4个月更换1次</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3</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清洗4</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1.78m×1.20m×0.95m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2.03</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溢流排放，溢流量0.5t/h，无需定期更换</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4</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清洗5</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1.78m×1.20m×0.95m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2.03</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逆补至喷淋清洗4储水槽</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5</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清洗6</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1.78m×1.20m×0.95m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2.03</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逆补至喷淋清洗5储水槽</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6</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硅烷化</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1.78m×2.40m×0.95m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4.06</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3-4个月更换1次</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7</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清洗7</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1.78m×1.20m×0.95m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2.03</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溢流排放，溢流量0.5t/h，无需定期更换</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8</w:t>
                  </w:r>
                </w:p>
              </w:tc>
              <w:tc>
                <w:tcPr>
                  <w:tcW w:w="45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清洗8</w:t>
                  </w:r>
                </w:p>
              </w:tc>
              <w:tc>
                <w:tcPr>
                  <w:tcW w:w="475"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喷淋</w:t>
                  </w:r>
                </w:p>
              </w:tc>
              <w:tc>
                <w:tcPr>
                  <w:tcW w:w="699" w:type="dxa"/>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RT</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1min</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1.78m×1.20m×0.95m</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2.03</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逆补至喷淋清洗7储水槽</w:t>
                  </w:r>
                </w:p>
              </w:tc>
              <w:tc>
                <w:tcPr>
                  <w:tcW w:w="0" w:type="auto"/>
                  <w:tcBorders>
                    <w:tl2br w:val="nil"/>
                    <w:tr2bl w:val="nil"/>
                  </w:tcBorders>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与环评一致</w:t>
                  </w:r>
                </w:p>
              </w:tc>
            </w:tr>
          </w:tbl>
          <w:p>
            <w:pPr>
              <w:pStyle w:val="17"/>
              <w:rPr>
                <w:rFonts w:ascii="Times New Roman" w:hAnsi="Times New Roman" w:eastAsia="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3969" w:hRule="atLeast"/>
          <w:jc w:val="center"/>
        </w:trPr>
        <w:tc>
          <w:tcPr>
            <w:tcW w:w="5000" w:type="pct"/>
            <w:tcBorders>
              <w:top w:val="single" w:color="000000" w:sz="4" w:space="0"/>
              <w:left w:val="single" w:color="000000" w:sz="4" w:space="0"/>
              <w:bottom w:val="single" w:color="000000" w:sz="4" w:space="0"/>
              <w:right w:val="single" w:color="000000" w:sz="4" w:space="0"/>
            </w:tcBorders>
            <w:noWrap w:val="0"/>
            <w:vAlign w:val="top"/>
          </w:tcPr>
          <w:p>
            <w:pPr>
              <w:widowControl w:val="0"/>
              <w:adjustRightInd/>
              <w:snapToGrid/>
              <w:spacing w:after="0" w:line="336" w:lineRule="auto"/>
              <w:ind w:firstLine="562" w:firstLineChars="200"/>
              <w:jc w:val="both"/>
              <w:rPr>
                <w:rFonts w:ascii="Times New Roman" w:hAnsi="Times New Roman" w:eastAsia="宋体" w:cs="Times New Roman"/>
                <w:b/>
                <w:color w:val="auto"/>
                <w:kern w:val="2"/>
                <w:sz w:val="28"/>
                <w:szCs w:val="28"/>
              </w:rPr>
            </w:pPr>
            <w:r>
              <w:rPr>
                <w:rFonts w:hint="eastAsia" w:ascii="Times New Roman" w:hAnsi="Times New Roman" w:eastAsia="宋体" w:cs="Times New Roman"/>
                <w:b/>
                <w:color w:val="auto"/>
                <w:kern w:val="2"/>
                <w:sz w:val="28"/>
                <w:szCs w:val="28"/>
              </w:rPr>
              <w:t>2.</w:t>
            </w:r>
            <w:r>
              <w:rPr>
                <w:rFonts w:hint="eastAsia" w:ascii="Times New Roman" w:hAnsi="Times New Roman" w:eastAsia="宋体" w:cs="Times New Roman"/>
                <w:b/>
                <w:color w:val="auto"/>
                <w:kern w:val="2"/>
                <w:sz w:val="28"/>
                <w:szCs w:val="28"/>
                <w:lang w:val="en-US" w:eastAsia="zh-CN"/>
              </w:rPr>
              <w:t>2</w:t>
            </w:r>
            <w:r>
              <w:rPr>
                <w:rFonts w:hint="eastAsia" w:ascii="Times New Roman" w:hAnsi="Times New Roman" w:eastAsia="宋体" w:cs="Times New Roman"/>
                <w:b/>
                <w:color w:val="auto"/>
                <w:kern w:val="2"/>
                <w:sz w:val="28"/>
                <w:szCs w:val="28"/>
              </w:rPr>
              <w:t>原辅材料消耗及水平衡</w:t>
            </w:r>
            <w:r>
              <w:rPr>
                <w:rFonts w:ascii="Times New Roman" w:hAnsi="Times New Roman" w:eastAsia="宋体" w:cs="Times New Roman"/>
                <w:b/>
                <w:color w:val="auto"/>
                <w:kern w:val="2"/>
                <w:sz w:val="28"/>
                <w:szCs w:val="28"/>
              </w:rPr>
              <w:t>：</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本项目原辅材料情况见下表，水平衡见下图。</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 xml:space="preserve">7 </w:t>
            </w:r>
            <w:r>
              <w:rPr>
                <w:rFonts w:ascii="Times New Roman" w:hAnsi="Times New Roman" w:eastAsia="宋体"/>
                <w:b/>
                <w:bCs/>
                <w:color w:val="auto"/>
                <w:sz w:val="21"/>
                <w:szCs w:val="21"/>
              </w:rPr>
              <w:t>原辅材料一览表</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411"/>
              <w:gridCol w:w="2754"/>
              <w:gridCol w:w="1827"/>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序号</w:t>
                  </w:r>
                </w:p>
              </w:tc>
              <w:tc>
                <w:tcPr>
                  <w:tcW w:w="1329"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原辅料名称</w:t>
                  </w:r>
                </w:p>
              </w:tc>
              <w:tc>
                <w:tcPr>
                  <w:tcW w:w="1518"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环评设计年用量</w:t>
                  </w:r>
                </w:p>
              </w:tc>
              <w:tc>
                <w:tcPr>
                  <w:tcW w:w="1007"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实际用量</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冷轧卷板</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500t/a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500t/a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盐酸</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硫酸</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4</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脱脂剂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0.1t/a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锌系列磷化剂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0.05t/a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0.05t/a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中和剂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0.05t/a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0.05t/a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表调剂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0.03t/a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0.03t/a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8</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硅烷剂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9</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超声波清洗剂</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10</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塑粉</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11</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水溶性浸渍漆</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8t/a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8t/a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12</w:t>
                  </w:r>
                </w:p>
              </w:tc>
              <w:tc>
                <w:tcPr>
                  <w:tcW w:w="1329"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天然气</w:t>
                  </w:r>
                </w:p>
              </w:tc>
              <w:tc>
                <w:tcPr>
                  <w:tcW w:w="1518"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50000m³/a</w:t>
                  </w:r>
                </w:p>
              </w:tc>
              <w:tc>
                <w:tcPr>
                  <w:tcW w:w="1007" w:type="pct"/>
                  <w:noWrap w:val="0"/>
                  <w:vAlign w:val="top"/>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50000m³/a</w:t>
                  </w:r>
                </w:p>
              </w:tc>
              <w:tc>
                <w:tcPr>
                  <w:tcW w:w="572" w:type="pct"/>
                  <w:noWrap w:val="0"/>
                  <w:vAlign w:val="center"/>
                </w:tcPr>
                <w:p>
                  <w:pPr>
                    <w:widowControl/>
                    <w:adjustRightInd/>
                    <w:snapToGrid/>
                    <w:spacing w:after="0" w:line="240" w:lineRule="auto"/>
                    <w:jc w:val="center"/>
                    <w:textAlignment w:val="center"/>
                    <w:rPr>
                      <w:rFonts w:hint="default" w:ascii="Times New Roman" w:hAnsi="Times New Roman" w:eastAsia="宋体" w:cs="Times New Roman"/>
                      <w:color w:val="auto"/>
                      <w:sz w:val="21"/>
                      <w:szCs w:val="21"/>
                      <w:lang w:eastAsia="zh-CN"/>
                    </w:rPr>
                  </w:pPr>
                </w:p>
              </w:tc>
            </w:tr>
          </w:tbl>
          <w:p>
            <w:pPr>
              <w:jc w:val="center"/>
              <w:rPr>
                <w:rFonts w:hint="default" w:ascii="Times New Roman" w:hAnsi="Times New Roman" w:eastAsia="宋体" w:cs="Times New Roman"/>
                <w:b/>
                <w:bCs/>
                <w:color w:val="auto"/>
                <w:sz w:val="21"/>
                <w:szCs w:val="21"/>
                <w:lang w:eastAsia="zh-CN"/>
              </w:rPr>
            </w:pPr>
            <w:r>
              <w:drawing>
                <wp:inline distT="0" distB="0" distL="114300" distR="114300">
                  <wp:extent cx="5754370" cy="4658360"/>
                  <wp:effectExtent l="0" t="0" r="1778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754370" cy="4658360"/>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2-2</w:t>
            </w:r>
            <w:r>
              <w:rPr>
                <w:rFonts w:hint="default" w:ascii="Times New Roman" w:hAnsi="Times New Roman" w:eastAsia="宋体" w:cs="Times New Roman"/>
                <w:b/>
                <w:bCs/>
                <w:color w:val="auto"/>
                <w:sz w:val="21"/>
                <w:szCs w:val="21"/>
                <w:lang w:val="en-US" w:eastAsia="zh-CN"/>
              </w:rPr>
              <w:t xml:space="preserve"> 实际运行的水平衡图（t/d）</w:t>
            </w:r>
          </w:p>
          <w:p>
            <w:pPr>
              <w:adjustRightInd/>
              <w:snapToGrid/>
              <w:spacing w:after="0" w:line="336"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验收期间超声波清洗废水未添加及更换，喷淋塔废水未更换，喷淋用水自动添加。</w:t>
            </w:r>
          </w:p>
          <w:p>
            <w:pPr>
              <w:widowControl w:val="0"/>
              <w:adjustRightInd/>
              <w:snapToGrid/>
              <w:spacing w:after="0" w:line="336" w:lineRule="auto"/>
              <w:ind w:firstLine="562" w:firstLineChars="200"/>
              <w:jc w:val="both"/>
              <w:rPr>
                <w:rFonts w:ascii="Times New Roman" w:hAnsi="Times New Roman" w:eastAsia="宋体" w:cs="Times New Roman"/>
                <w:b/>
                <w:color w:val="auto"/>
                <w:kern w:val="2"/>
                <w:sz w:val="28"/>
                <w:szCs w:val="28"/>
              </w:rPr>
            </w:pPr>
            <w:r>
              <w:rPr>
                <w:rFonts w:hint="eastAsia" w:ascii="Times New Roman" w:hAnsi="Times New Roman" w:eastAsia="宋体" w:cs="Times New Roman"/>
                <w:b/>
                <w:color w:val="auto"/>
                <w:kern w:val="2"/>
                <w:sz w:val="28"/>
                <w:szCs w:val="28"/>
              </w:rPr>
              <w:t>2.</w:t>
            </w:r>
            <w:r>
              <w:rPr>
                <w:rFonts w:hint="eastAsia" w:ascii="Times New Roman" w:hAnsi="Times New Roman" w:eastAsia="宋体" w:cs="Times New Roman"/>
                <w:b/>
                <w:color w:val="auto"/>
                <w:kern w:val="2"/>
                <w:sz w:val="28"/>
                <w:szCs w:val="28"/>
                <w:lang w:val="en-US" w:eastAsia="zh-CN"/>
              </w:rPr>
              <w:t>3</w:t>
            </w:r>
            <w:r>
              <w:rPr>
                <w:rFonts w:hint="eastAsia" w:ascii="Times New Roman" w:hAnsi="Times New Roman" w:eastAsia="宋体" w:cs="Times New Roman"/>
                <w:b/>
                <w:color w:val="auto"/>
                <w:kern w:val="2"/>
                <w:sz w:val="28"/>
                <w:szCs w:val="28"/>
              </w:rPr>
              <w:t>主要工艺流程及</w:t>
            </w:r>
            <w:r>
              <w:rPr>
                <w:rFonts w:hint="eastAsia" w:ascii="Times New Roman" w:hAnsi="Times New Roman" w:eastAsia="宋体" w:cs="Times New Roman"/>
                <w:b/>
                <w:color w:val="auto"/>
                <w:kern w:val="2"/>
                <w:sz w:val="28"/>
                <w:szCs w:val="28"/>
                <w:lang w:val="en-US" w:eastAsia="zh-CN"/>
              </w:rPr>
              <w:t>产污</w:t>
            </w:r>
            <w:r>
              <w:rPr>
                <w:rFonts w:hint="eastAsia" w:ascii="Times New Roman" w:hAnsi="Times New Roman" w:eastAsia="宋体" w:cs="Times New Roman"/>
                <w:b/>
                <w:color w:val="auto"/>
                <w:kern w:val="2"/>
                <w:sz w:val="28"/>
                <w:szCs w:val="28"/>
              </w:rPr>
              <w:t>环节</w:t>
            </w:r>
            <w:r>
              <w:rPr>
                <w:rFonts w:ascii="Times New Roman" w:hAnsi="Times New Roman" w:eastAsia="宋体" w:cs="Times New Roman"/>
                <w:b/>
                <w:color w:val="auto"/>
                <w:kern w:val="2"/>
                <w:sz w:val="28"/>
                <w:szCs w:val="28"/>
              </w:rPr>
              <w:t>：</w:t>
            </w:r>
          </w:p>
          <w:p>
            <w:pPr>
              <w:adjustRightInd/>
              <w:snapToGrid/>
              <w:spacing w:after="0" w:line="336" w:lineRule="auto"/>
              <w:ind w:firstLine="482" w:firstLineChars="200"/>
              <w:jc w:val="both"/>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1、电机生产工艺流程图及工艺简述：</w:t>
            </w:r>
          </w:p>
          <w:p>
            <w:pPr>
              <w:adjustRightInd/>
              <w:snapToGrid/>
              <w:spacing w:after="0" w:line="336" w:lineRule="auto"/>
              <w:ind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根据工艺流程可知，技改后项目产品不变，仍为电机，电机产品主要由电机外壳、电机内壳、定子、转子等部分组成。技改前后工艺环节有较大变化，各工艺流程图以及相关工艺简述如下</w:t>
            </w:r>
            <w:r>
              <w:rPr>
                <w:rFonts w:hint="eastAsia" w:ascii="Times New Roman" w:hAnsi="Times New Roman" w:eastAsia="宋体" w:cs="Times New Roman"/>
                <w:color w:val="auto"/>
                <w:sz w:val="24"/>
                <w:lang w:val="en-US" w:eastAsia="zh-CN"/>
              </w:rPr>
              <w:t>：</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1）电机外壳生产工艺</w:t>
            </w:r>
          </w:p>
          <w:p>
            <w:pPr>
              <w:pStyle w:val="15"/>
              <w:spacing w:line="240" w:lineRule="auto"/>
              <w:ind w:right="0"/>
              <w:jc w:val="center"/>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3497580</wp:posOffset>
                      </wp:positionH>
                      <wp:positionV relativeFrom="paragraph">
                        <wp:posOffset>3175635</wp:posOffset>
                      </wp:positionV>
                      <wp:extent cx="1381125" cy="382905"/>
                      <wp:effectExtent l="9525" t="9525" r="19050" b="26670"/>
                      <wp:wrapNone/>
                      <wp:docPr id="10" name="矩形 10"/>
                      <wp:cNvGraphicFramePr/>
                      <a:graphic xmlns:a="http://schemas.openxmlformats.org/drawingml/2006/main">
                        <a:graphicData uri="http://schemas.microsoft.com/office/word/2010/wordprocessingShape">
                          <wps:wsp>
                            <wps:cNvSpPr/>
                            <wps:spPr>
                              <a:xfrm>
                                <a:off x="0" y="0"/>
                                <a:ext cx="1381125" cy="38290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5.4pt;margin-top:250.05pt;height:30.15pt;width:108.75pt;z-index:251661312;mso-width-relative:page;mso-height-relative:page;" filled="f" stroked="t" coordsize="21600,21600" o:gfxdata="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3EGEDZAAAACwEAAA8AAAAAAAAAAQAgAAAAIgAAAGRycy9kb3ducmV2Lnht&#10;bFBLAQIUABQAAAAIAIdO4kCzQzKD+AEAAPgDAAAOAAAAAAAAAAEAIAAAACgBAABkcnMvZTJvRG9j&#10;LnhtbFBLBQYAAAAABgAGAFkBAACSBQ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3421380</wp:posOffset>
                      </wp:positionH>
                      <wp:positionV relativeFrom="paragraph">
                        <wp:posOffset>2292985</wp:posOffset>
                      </wp:positionV>
                      <wp:extent cx="1421130" cy="484505"/>
                      <wp:effectExtent l="9525" t="9525" r="17145" b="20320"/>
                      <wp:wrapNone/>
                      <wp:docPr id="18" name="矩形 18"/>
                      <wp:cNvGraphicFramePr/>
                      <a:graphic xmlns:a="http://schemas.openxmlformats.org/drawingml/2006/main">
                        <a:graphicData uri="http://schemas.microsoft.com/office/word/2010/wordprocessingShape">
                          <wps:wsp>
                            <wps:cNvSpPr/>
                            <wps:spPr>
                              <a:xfrm>
                                <a:off x="0" y="0"/>
                                <a:ext cx="1421130" cy="48450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9.4pt;margin-top:180.55pt;height:38.15pt;width:111.9pt;z-index:251660288;mso-width-relative:page;mso-height-relative:page;" filled="f" stroked="t" coordsize="21600,21600" o:gfxdata="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2HegNoAAAALAQAADwAAAAAAAAABACAAAAAiAAAAZHJzL2Rvd25yZXYu&#10;eG1sUEsBAhQAFAAAAAgAh07iQJo02y/5AQAA+AMAAA4AAAAAAAAAAQAgAAAAKQEAAGRycy9lMm9E&#10;b2MueG1sUEsFBgAAAAAGAAYAWQEAAJQFA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2634615</wp:posOffset>
                      </wp:positionH>
                      <wp:positionV relativeFrom="paragraph">
                        <wp:posOffset>271145</wp:posOffset>
                      </wp:positionV>
                      <wp:extent cx="1381125" cy="335280"/>
                      <wp:effectExtent l="9525" t="9525" r="19050" b="17145"/>
                      <wp:wrapNone/>
                      <wp:docPr id="12" name="矩形 12"/>
                      <wp:cNvGraphicFramePr/>
                      <a:graphic xmlns:a="http://schemas.openxmlformats.org/drawingml/2006/main">
                        <a:graphicData uri="http://schemas.microsoft.com/office/word/2010/wordprocessingShape">
                          <wps:wsp>
                            <wps:cNvSpPr/>
                            <wps:spPr>
                              <a:xfrm>
                                <a:off x="0" y="0"/>
                                <a:ext cx="1381125" cy="33528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7.45pt;margin-top:21.35pt;height:26.4pt;width:108.75pt;z-index:251662336;mso-width-relative:page;mso-height-relative:page;" filled="f" stroked="t" coordsize="21600,21600" o:gfxdata="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WEltkAAAAJAQAADwAAAAAAAAABACAAAAAiAAAAZHJzL2Rvd25yZXYu&#10;eG1sUEsBAhQAFAAAAAgAh07iQK6duWf6AQAA+AMAAA4AAAAAAAAAAQAgAAAAKAEAAGRycy9lMm9E&#10;b2MueG1sUEsFBgAAAAAGAAYAWQEAAJQFA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1903730</wp:posOffset>
                      </wp:positionH>
                      <wp:positionV relativeFrom="paragraph">
                        <wp:posOffset>1960880</wp:posOffset>
                      </wp:positionV>
                      <wp:extent cx="709295" cy="414020"/>
                      <wp:effectExtent l="9525" t="9525" r="24130" b="14605"/>
                      <wp:wrapNone/>
                      <wp:docPr id="19" name="矩形 19"/>
                      <wp:cNvGraphicFramePr/>
                      <a:graphic xmlns:a="http://schemas.openxmlformats.org/drawingml/2006/main">
                        <a:graphicData uri="http://schemas.microsoft.com/office/word/2010/wordprocessingShape">
                          <wps:wsp>
                            <wps:cNvSpPr/>
                            <wps:spPr>
                              <a:xfrm>
                                <a:off x="0" y="0"/>
                                <a:ext cx="709295" cy="41402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49.9pt;margin-top:154.4pt;height:32.6pt;width:55.85pt;z-index:251663360;mso-width-relative:page;mso-height-relative:page;" filled="f" stroked="t" coordsize="21600,21600" o:gfxdata="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RaVlNoAAAALAQAADwAAAAAAAAABACAAAAAiAAAAZHJzL2Rvd25yZXYu&#10;eG1sUEsBAhQAFAAAAAgAh07iQKPhz5v5AQAA9wMAAA4AAAAAAAAAAQAgAAAAKQEAAGRycy9lMm9E&#10;b2MueG1sUEsFBgAAAAAGAAYAWQEAAJQFA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744220</wp:posOffset>
                      </wp:positionH>
                      <wp:positionV relativeFrom="paragraph">
                        <wp:posOffset>3810635</wp:posOffset>
                      </wp:positionV>
                      <wp:extent cx="944245" cy="3175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44245" cy="317500"/>
                              </a:xfrm>
                              <a:prstGeom prst="rect">
                                <a:avLst/>
                              </a:prstGeom>
                              <a:noFill/>
                              <a:ln>
                                <a:noFill/>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wps:txbx>
                            <wps:bodyPr upright="1"/>
                          </wps:wsp>
                        </a:graphicData>
                      </a:graphic>
                    </wp:anchor>
                  </w:drawing>
                </mc:Choice>
                <mc:Fallback>
                  <w:pict>
                    <v:shape id="_x0000_s1026" o:spid="_x0000_s1026" o:spt="202" type="#_x0000_t202" style="position:absolute;left:0pt;margin-left:58.6pt;margin-top:300.05pt;height:25pt;width:74.35pt;z-index:251665408;mso-width-relative:page;mso-height-relative:page;" filled="f" stroked="f" coordsize="21600,21600" o:gfxdata="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QCE7tcA&#10;AAALAQAADwAAAAAAAAABACAAAAAiAAAAZHJzL2Rvd25yZXYueG1sUEsBAhQAFAAAAAgAh07iQHYB&#10;ZoeuAQAATQMAAA4AAAAAAAAAAQAgAAAAJgEAAGRycy9lMm9Eb2MueG1sUEsFBgAAAAAGAAYAWQEA&#10;AEYFAAAAAA==&#10;">
                      <v:fill on="f" focussize="0,0"/>
                      <v:stroke on="f"/>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27305</wp:posOffset>
                      </wp:positionH>
                      <wp:positionV relativeFrom="paragraph">
                        <wp:posOffset>3837940</wp:posOffset>
                      </wp:positionV>
                      <wp:extent cx="683260" cy="223520"/>
                      <wp:effectExtent l="9525" t="9525" r="12065" b="14605"/>
                      <wp:wrapNone/>
                      <wp:docPr id="13" name="矩形 13"/>
                      <wp:cNvGraphicFramePr/>
                      <a:graphic xmlns:a="http://schemas.openxmlformats.org/drawingml/2006/main">
                        <a:graphicData uri="http://schemas.microsoft.com/office/word/2010/wordprocessingShape">
                          <wps:wsp>
                            <wps:cNvSpPr/>
                            <wps:spPr>
                              <a:xfrm>
                                <a:off x="0" y="0"/>
                                <a:ext cx="683260" cy="22352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5pt;margin-top:302.2pt;height:17.6pt;width:53.8pt;z-index:251664384;mso-width-relative:page;mso-height-relative:page;" filled="f" stroked="t" coordsize="21600,21600" o:gfxdata="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8/D1NcAAAAJAQAADwAAAAAAAAABACAAAAAiAAAAZHJzL2Rvd25yZXYueG1s&#10;UEsBAhQAFAAAAAgAh07iQAunzF/5AQAA9wMAAA4AAAAAAAAAAQAgAAAAJgEAAGRycy9lMm9Eb2Mu&#10;eG1sUEsFBgAAAAAGAAYAWQEAAJEFAAAAAA==&#10;">
                      <v:fill on="f" focussize="0,0"/>
                      <v:stroke weight="1.5pt" color="#FF0000" joinstyle="miter"/>
                      <v:imagedata o:title=""/>
                      <o:lock v:ext="edit" aspectratio="f"/>
                    </v:rect>
                  </w:pict>
                </mc:Fallback>
              </mc:AlternateContent>
            </w:r>
            <w:r>
              <w:rPr>
                <w:rFonts w:hint="eastAsia" w:ascii="宋体" w:hAnsi="宋体" w:eastAsia="宋体" w:cs="宋体"/>
                <w:sz w:val="24"/>
                <w:szCs w:val="24"/>
                <w:lang w:eastAsia="zh-CN"/>
              </w:rPr>
              <w:drawing>
                <wp:inline distT="0" distB="0" distL="114300" distR="114300">
                  <wp:extent cx="5592445" cy="4119880"/>
                  <wp:effectExtent l="0" t="0" r="8255" b="0"/>
                  <wp:docPr id="20" name="图片 3" descr="87ef277e250cc01cfc18f03a6a7b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87ef277e250cc01cfc18f03a6a7b2e2"/>
                          <pic:cNvPicPr>
                            <a:picLocks noChangeAspect="1"/>
                          </pic:cNvPicPr>
                        </pic:nvPicPr>
                        <pic:blipFill>
                          <a:blip r:embed="rId12"/>
                          <a:srcRect b="-8151"/>
                          <a:stretch>
                            <a:fillRect/>
                          </a:stretch>
                        </pic:blipFill>
                        <pic:spPr>
                          <a:xfrm>
                            <a:off x="0" y="0"/>
                            <a:ext cx="5592445" cy="4119880"/>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2-3 </w:t>
            </w:r>
            <w:r>
              <w:rPr>
                <w:rFonts w:hint="default" w:ascii="Times New Roman" w:hAnsi="Times New Roman" w:eastAsia="宋体" w:cs="Times New Roman"/>
                <w:b/>
                <w:bCs/>
                <w:color w:val="auto"/>
                <w:sz w:val="21"/>
                <w:szCs w:val="21"/>
              </w:rPr>
              <w:t>技改项目电机外壳生产工艺流程及产污环节图</w:t>
            </w:r>
          </w:p>
          <w:p>
            <w:pPr>
              <w:pStyle w:val="17"/>
              <w:jc w:val="both"/>
              <w:rPr>
                <w:rFonts w:hint="default"/>
                <w:b/>
                <w:bCs/>
              </w:rPr>
            </w:pPr>
            <w:r>
              <w:rPr>
                <w:rFonts w:hint="default"/>
                <w:b/>
                <w:bCs/>
              </w:rPr>
              <w:t>注：技改前，本项目铝外壳与铁外壳均为外购成品，原有工艺为喷砂+喷漆、烘干加工，因市场需求的变化，部分客户要求外壳采用喷塑工艺，同时在运营期间，外购冷轧卷板存在生锈程度差异较大的情况，同时铝型材质地较软，喷砂加工容易变形。因此根据冷轧卷板的生锈程度选择不同工艺进行表面处理，同时铝工件改为超声波清洗。</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根据客户要求，选择冷轧卷板或铝型材进行下料打眼加工制得外壳毛坯。技改项目新增下料打眼工序，产生金属屑及金属边料（S1、S</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）；电机外壳成型后，铝外壳后一步经超声波清洗后进行喷漆并烘干，即得铝外壳成品。技改项目新增超声波清洗工序，产生超声波清洗废水（W3）。</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铁外壳根据工件表面清洁度，选择相应工艺进行后续加工：</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（1）约10%铁外壳（6000个）表面干净无锈，通过气泵枪吹尘后上挂进行喷漆、烘干加工即得铁外壳成品。技改项目新增气枪吹尘工序，产生少量粉尘（G1）。</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约10%铁外壳（6000个）表面生锈程度严重，则通过酸洗磷化表面处理后上挂进行喷塑、固化加工即得铁外壳成品。技改项目新增酸洗磷化、喷塑与固化工艺，其酸洗工序产生酸雾（G2），脱脂、酸洗、中和、表调、磷化槽定期过滤捞渣产生表面处理槽渣（S2），脱脂、中和、表调、磷化槽定期更换产生废槽液（S3），酸洗磷化工序水洗槽定期更换废水（W1），喷塑工序产生喷塑粉尘（G3）以及废塑粉（S4），固化工序产生固化废气（G4）。</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其余约80%铁外壳（48000个）通过喷砂去锈处理后，其中约70.8%的工件（34000个）经硅烷化表面处理后再经喷塑、固化加工即得铁外壳成品；其余29.2%的工件（14000个）通过气枪吹尘处理后再经喷漆、烘干加工即得铁外壳成品。技改项目新增硅烷化表面处理、气枪吹尘、喷塑及固化工艺，硅烷化工序产生表面处理废水（W2）以及废槽液（S5），喷塑工序产生喷塑粉尘（G3）、废塑粉（S4），固化工序产生固化废气（G4），气枪吹尘工序产生少量粉尘（G5）。</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2）电机内壳生产工艺</w:t>
            </w:r>
          </w:p>
          <w:p>
            <w:pPr>
              <w:pStyle w:val="17"/>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rPr>
            </w:pPr>
            <w:r>
              <w:drawing>
                <wp:inline distT="0" distB="0" distL="114300" distR="114300">
                  <wp:extent cx="5571490" cy="1419225"/>
                  <wp:effectExtent l="0" t="0" r="1016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3"/>
                          <a:srcRect/>
                          <a:stretch>
                            <a:fillRect/>
                          </a:stretch>
                        </pic:blipFill>
                        <pic:spPr>
                          <a:xfrm>
                            <a:off x="0" y="0"/>
                            <a:ext cx="5571490" cy="1419225"/>
                          </a:xfrm>
                          <a:prstGeom prst="rect">
                            <a:avLst/>
                          </a:prstGeom>
                          <a:noFill/>
                          <a:ln>
                            <a:noFill/>
                          </a:ln>
                        </pic:spPr>
                      </pic:pic>
                    </a:graphicData>
                  </a:graphic>
                </wp:inline>
              </w:drawing>
            </w:r>
          </w:p>
          <w:p>
            <w:pPr>
              <w:widowControl w:val="0"/>
              <w:adjustRightInd/>
              <w:snapToGrid/>
              <w:spacing w:after="0"/>
              <w:jc w:val="center"/>
              <w:rPr>
                <w:rFonts w:hint="eastAsia"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2-4 </w:t>
            </w:r>
            <w:r>
              <w:rPr>
                <w:rFonts w:hint="eastAsia" w:ascii="Times New Roman" w:hAnsi="Times New Roman" w:eastAsia="宋体" w:cs="Times New Roman"/>
                <w:b/>
                <w:bCs/>
                <w:color w:val="auto"/>
                <w:sz w:val="21"/>
                <w:szCs w:val="21"/>
              </w:rPr>
              <w:t>技改项目电机内壳生产工艺流程及产污环节图</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冷轧卷板通过下料打眼加工成型后委外电镀加工，回厂与外购电机端杆组装，即得电机内壳成品。技改项目新增下料冲压工序，产生金属屑及金属边料（S</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电机定子生产工艺</w:t>
            </w:r>
          </w:p>
          <w:p>
            <w:pPr>
              <w:widowControl w:val="0"/>
              <w:adjustRightInd/>
              <w:snapToGrid/>
              <w:spacing w:after="0"/>
              <w:jc w:val="center"/>
              <w:rPr>
                <w:rFonts w:hint="eastAsia" w:ascii="Times New Roman" w:hAnsi="Times New Roman" w:eastAsia="宋体" w:cs="Times New Roman"/>
                <w:b/>
                <w:bCs/>
                <w:color w:val="auto"/>
                <w:sz w:val="21"/>
                <w:szCs w:val="21"/>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77470</wp:posOffset>
                      </wp:positionH>
                      <wp:positionV relativeFrom="paragraph">
                        <wp:posOffset>34290</wp:posOffset>
                      </wp:positionV>
                      <wp:extent cx="3458210" cy="1374140"/>
                      <wp:effectExtent l="9525" t="9525" r="18415" b="26035"/>
                      <wp:wrapNone/>
                      <wp:docPr id="29" name="矩形 29"/>
                      <wp:cNvGraphicFramePr/>
                      <a:graphic xmlns:a="http://schemas.openxmlformats.org/drawingml/2006/main">
                        <a:graphicData uri="http://schemas.microsoft.com/office/word/2010/wordprocessingShape">
                          <wps:wsp>
                            <wps:cNvSpPr/>
                            <wps:spPr>
                              <a:xfrm>
                                <a:off x="0" y="0"/>
                                <a:ext cx="3458210" cy="137414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1pt;margin-top:2.7pt;height:108.2pt;width:272.3pt;z-index:251666432;mso-width-relative:page;mso-height-relative:page;" filled="f" stroked="t" coordsize="21600,21600" o:gfxdata="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tFMrVAAAACAEAAA8AAAAAAAAAAQAgAAAAIgAAAGRycy9kb3ducmV2Lnht&#10;bFBLAQIUABQAAAAIAIdO4kA/LQ5m/AEAAPkDAAAOAAAAAAAAAAEAIAAAACQBAABkcnMvZTJvRG9j&#10;LnhtbFBLBQYAAAAABgAGAFkBAACSBQAAAAA=&#10;">
                      <v:fill on="f" focussize="0,0"/>
                      <v:stroke weight="1.5pt" color="#FF0000" joinstyle="miter"/>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2427605</wp:posOffset>
                      </wp:positionH>
                      <wp:positionV relativeFrom="paragraph">
                        <wp:posOffset>127000</wp:posOffset>
                      </wp:positionV>
                      <wp:extent cx="968375" cy="3594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68375" cy="359410"/>
                              </a:xfrm>
                              <a:prstGeom prst="rect">
                                <a:avLst/>
                              </a:prstGeom>
                              <a:noFill/>
                              <a:ln>
                                <a:noFill/>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wps:txbx>
                            <wps:bodyPr upright="1"/>
                          </wps:wsp>
                        </a:graphicData>
                      </a:graphic>
                    </wp:anchor>
                  </w:drawing>
                </mc:Choice>
                <mc:Fallback>
                  <w:pict>
                    <v:shape id="_x0000_s1026" o:spid="_x0000_s1026" o:spt="202" type="#_x0000_t202" style="position:absolute;left:0pt;margin-left:191.15pt;margin-top:10pt;height:28.3pt;width:76.25pt;z-index:251667456;mso-width-relative:page;mso-height-relative:page;" filled="f" stroked="f" coordsize="21600,21600" o:gfxdata="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hdmt1gAA&#10;AAkBAAAPAAAAAAAAAAEAIAAAACIAAABkcnMvZG93bnJldi54bWxQSwECFAAUAAAACACHTuJAeHcH&#10;h64BAABNAwAADgAAAAAAAAABACAAAAAlAQAAZHJzL2Uyb0RvYy54bWxQSwUGAAAAAAYABgBZAQAA&#10;RQUAAAAA&#10;">
                      <v:fill on="f" focussize="0,0"/>
                      <v:stroke on="f"/>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v:textbox>
                    </v:shape>
                  </w:pict>
                </mc:Fallback>
              </mc:AlternateContent>
            </w:r>
            <w:r>
              <w:rPr>
                <w:rFonts w:hint="eastAsia" w:ascii="Times New Roman" w:hAnsi="Times New Roman" w:eastAsia="宋体" w:cs="Times New Roman"/>
                <w:b/>
                <w:bCs/>
                <w:color w:val="auto"/>
                <w:sz w:val="21"/>
                <w:szCs w:val="21"/>
                <w:lang w:eastAsia="zh-CN"/>
              </w:rPr>
              <w:drawing>
                <wp:inline distT="0" distB="0" distL="114300" distR="114300">
                  <wp:extent cx="5622925" cy="1687195"/>
                  <wp:effectExtent l="0" t="0" r="15875" b="8255"/>
                  <wp:docPr id="25" name="图片 5" descr="16932075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1693207512212"/>
                          <pic:cNvPicPr>
                            <a:picLocks noChangeAspect="1"/>
                          </pic:cNvPicPr>
                        </pic:nvPicPr>
                        <pic:blipFill>
                          <a:blip r:embed="rId14"/>
                          <a:stretch>
                            <a:fillRect/>
                          </a:stretch>
                        </pic:blipFill>
                        <pic:spPr>
                          <a:xfrm>
                            <a:off x="0" y="0"/>
                            <a:ext cx="5622925" cy="1687195"/>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2-5 </w:t>
            </w:r>
            <w:r>
              <w:rPr>
                <w:rFonts w:hint="default" w:ascii="Times New Roman" w:hAnsi="Times New Roman" w:eastAsia="宋体" w:cs="Times New Roman"/>
                <w:b/>
                <w:bCs/>
                <w:color w:val="auto"/>
                <w:sz w:val="21"/>
                <w:szCs w:val="21"/>
              </w:rPr>
              <w:t>技改项目电机定子生产工艺流程及产污环节图</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冷轧卷板通过下料冲压成型，将线头剥线处理后的漆包线使用绕线机绕于铁芯制得线圈，并将线圈人工嵌入使用冷轧卷板冲压成型后的定子内，通过整形处理后使用焊接机接线焊接，固定漆包线线头，之后通过超声波清洗并晾干后进行浸漆并晾干加工后即得电机定子成品。技改项目新增超声波清洗与浸漆、晾干工艺，超声波清洗工序产生超声波清洗废水（W4），浸漆与晾干工序产生浸漆与晾干废气（G6），同时晾干过程会有少量油漆滴落至晾干台下方的收集槽内，产生漆渣（S8）。</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电机转子生产工艺</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sz w:val="24"/>
                <w:szCs w:val="24"/>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2443480</wp:posOffset>
                      </wp:positionH>
                      <wp:positionV relativeFrom="paragraph">
                        <wp:posOffset>758190</wp:posOffset>
                      </wp:positionV>
                      <wp:extent cx="968375" cy="3594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68375" cy="359410"/>
                              </a:xfrm>
                              <a:prstGeom prst="rect">
                                <a:avLst/>
                              </a:prstGeom>
                              <a:noFill/>
                              <a:ln>
                                <a:noFill/>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wps:txbx>
                            <wps:bodyPr upright="1"/>
                          </wps:wsp>
                        </a:graphicData>
                      </a:graphic>
                    </wp:anchor>
                  </w:drawing>
                </mc:Choice>
                <mc:Fallback>
                  <w:pict>
                    <v:shape id="_x0000_s1026" o:spid="_x0000_s1026" o:spt="202" type="#_x0000_t202" style="position:absolute;left:0pt;margin-left:192.4pt;margin-top:59.7pt;height:28.3pt;width:76.25pt;z-index:251669504;mso-width-relative:page;mso-height-relative:page;" filled="f" stroked="f" coordsize="21600,21600" o:gfxdata="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PnAbPY&#10;AAAACwEAAA8AAAAAAAAAAQAgAAAAIgAAAGRycy9kb3ducmV2LnhtbFBLAQIUABQAAAAIAIdO4kCa&#10;MmpWrgEAAE8DAAAOAAAAAAAAAAEAIAAAACcBAABkcnMvZTJvRG9jLnhtbFBLBQYAAAAABgAGAFkB&#10;AABHBQAAAAA=&#10;">
                      <v:fill on="f" focussize="0,0"/>
                      <v:stroke on="f"/>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原有项目</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1956435</wp:posOffset>
                      </wp:positionH>
                      <wp:positionV relativeFrom="paragraph">
                        <wp:posOffset>62230</wp:posOffset>
                      </wp:positionV>
                      <wp:extent cx="1920875" cy="668020"/>
                      <wp:effectExtent l="9525" t="9525" r="12700" b="27305"/>
                      <wp:wrapNone/>
                      <wp:docPr id="23" name="矩形 23"/>
                      <wp:cNvGraphicFramePr/>
                      <a:graphic xmlns:a="http://schemas.openxmlformats.org/drawingml/2006/main">
                        <a:graphicData uri="http://schemas.microsoft.com/office/word/2010/wordprocessingShape">
                          <wps:wsp>
                            <wps:cNvSpPr/>
                            <wps:spPr>
                              <a:xfrm>
                                <a:off x="0" y="0"/>
                                <a:ext cx="1920875" cy="66802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4.05pt;margin-top:4.9pt;height:52.6pt;width:151.25pt;z-index:251668480;mso-width-relative:page;mso-height-relative:page;" filled="f" stroked="t" coordsize="21600,21600" o:gfxdata="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0Nf7tYAAAAJAQAADwAAAAAAAAABACAAAAAiAAAAZHJzL2Rvd25yZXYueG1s&#10;UEsBAhQAFAAAAAgAh07iQCLwBbj6AQAA+AMAAA4AAAAAAAAAAQAgAAAAJQEAAGRycy9lMm9Eb2Mu&#10;eG1sUEsFBgAAAAAGAAYAWQEAAJEFAAAAAA==&#10;">
                      <v:fill on="f" focussize="0,0"/>
                      <v:stroke weight="1.5pt" color="#FF0000" joinstyle="miter"/>
                      <v:imagedata o:title=""/>
                      <o:lock v:ext="edit" aspectratio="f"/>
                    </v:rect>
                  </w:pict>
                </mc:Fallback>
              </mc:AlternateContent>
            </w:r>
            <w:r>
              <w:rPr>
                <w:rFonts w:hint="eastAsia" w:ascii="Times New Roman" w:hAnsi="Times New Roman" w:eastAsia="宋体" w:cs="Times New Roman"/>
                <w:sz w:val="24"/>
                <w:szCs w:val="24"/>
                <w:lang w:eastAsia="zh-CN"/>
              </w:rPr>
              <w:drawing>
                <wp:inline distT="0" distB="0" distL="114300" distR="114300">
                  <wp:extent cx="5551805" cy="1062355"/>
                  <wp:effectExtent l="0" t="0" r="10795" b="0"/>
                  <wp:docPr id="3" name="图片 6" descr="169320765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693207652192"/>
                          <pic:cNvPicPr>
                            <a:picLocks noChangeAspect="1"/>
                          </pic:cNvPicPr>
                        </pic:nvPicPr>
                        <pic:blipFill>
                          <a:blip r:embed="rId15"/>
                          <a:srcRect b="-29993"/>
                          <a:stretch>
                            <a:fillRect/>
                          </a:stretch>
                        </pic:blipFill>
                        <pic:spPr>
                          <a:xfrm>
                            <a:off x="0" y="0"/>
                            <a:ext cx="5551805" cy="1062355"/>
                          </a:xfrm>
                          <a:prstGeom prst="rect">
                            <a:avLst/>
                          </a:prstGeom>
                          <a:noFill/>
                          <a:ln>
                            <a:noFill/>
                          </a:ln>
                        </pic:spPr>
                      </pic:pic>
                    </a:graphicData>
                  </a:graphic>
                </wp:inline>
              </w:drawing>
            </w:r>
          </w:p>
          <w:p>
            <w:pPr>
              <w:widowControl w:val="0"/>
              <w:adjustRightInd/>
              <w:snapToGrid/>
              <w:spacing w:after="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2-6 </w:t>
            </w:r>
            <w:r>
              <w:rPr>
                <w:rFonts w:hint="default" w:ascii="Times New Roman" w:hAnsi="Times New Roman" w:eastAsia="宋体" w:cs="Times New Roman"/>
                <w:b/>
                <w:bCs/>
                <w:color w:val="auto"/>
                <w:sz w:val="21"/>
                <w:szCs w:val="21"/>
              </w:rPr>
              <w:t>技改项目电机转子生产工艺流程及产污环节图</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外购铝铸件经机加工后制得电机转子成品。本次技改内容不涉及转子加工工序的变化。</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5）成品电机组装</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sz w:val="24"/>
                <w:szCs w:val="24"/>
              </w:rPr>
            </w:pPr>
            <w:r>
              <w:drawing>
                <wp:inline distT="0" distB="0" distL="114300" distR="114300">
                  <wp:extent cx="5638165" cy="384175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6"/>
                          <a:stretch>
                            <a:fillRect/>
                          </a:stretch>
                        </pic:blipFill>
                        <pic:spPr>
                          <a:xfrm>
                            <a:off x="0" y="0"/>
                            <a:ext cx="5638165" cy="3841750"/>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2-7 </w:t>
            </w:r>
            <w:r>
              <w:rPr>
                <w:rFonts w:hint="default" w:ascii="Times New Roman" w:hAnsi="Times New Roman" w:eastAsia="宋体" w:cs="Times New Roman"/>
                <w:b/>
                <w:bCs/>
                <w:color w:val="auto"/>
                <w:sz w:val="21"/>
                <w:szCs w:val="21"/>
              </w:rPr>
              <w:t>技改项目电机组装工艺流程图</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将加工制得的电机外壳、电机内壳、定子、转子以及外购配件组装，制得成品电机产品并入库。</w:t>
            </w:r>
          </w:p>
          <w:p>
            <w:pPr>
              <w:pStyle w:val="17"/>
              <w:rPr>
                <w:rFonts w:hint="default"/>
              </w:rPr>
            </w:pPr>
            <w:r>
              <w:rPr>
                <w:rFonts w:hint="default"/>
              </w:rPr>
              <w:t>注：技改项目下料打眼、冲压以及机加工不使用皂化液、磨削液等冷却液。</w:t>
            </w:r>
          </w:p>
          <w:p>
            <w:pPr>
              <w:adjustRightInd/>
              <w:snapToGrid/>
              <w:spacing w:after="0" w:line="336" w:lineRule="auto"/>
              <w:ind w:firstLine="482" w:firstLineChars="200"/>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2、表面处理及涂装流程图及工艺简述：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1）酸洗磷化表面处理工艺</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本项目酸洗磷化工艺用于对生锈情况比较严重的铁制电机外壳表面处理，根据企业提供资料，预计约10%的铁制电机外壳（6000个/a）须进行酸洗磷化表面处理，具体工艺如下：</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sz w:val="24"/>
                <w:szCs w:val="24"/>
              </w:rPr>
            </w:pPr>
            <w:r>
              <w:drawing>
                <wp:inline distT="0" distB="0" distL="114300" distR="114300">
                  <wp:extent cx="5601335" cy="2139315"/>
                  <wp:effectExtent l="0" t="0" r="18415" b="133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5601335" cy="2139315"/>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2-8 </w:t>
            </w:r>
            <w:r>
              <w:rPr>
                <w:rFonts w:hint="default" w:ascii="Times New Roman" w:hAnsi="Times New Roman" w:eastAsia="宋体" w:cs="Times New Roman"/>
                <w:b/>
                <w:bCs/>
                <w:color w:val="auto"/>
                <w:sz w:val="21"/>
                <w:szCs w:val="21"/>
              </w:rPr>
              <w:t>技改项目配套酸洗磷化表面处理工艺流程及产污环节图</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脱脂</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常温常压浸洗约5min，一般pH值为9~12，其目的在于清除工件表面油污。脱脂槽液定期过滤捞渣（S2-1），槽液定期补充，平均半年更换1次，产生废槽液（S3-1）。</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（2）酸洗</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常压浸洗约3min，本项目工件采用6%硫酸及6%盐酸进行酸洗，利用酸与工件表面氧化物反应，使氧化物溶解以及腐蚀产生氢气的机械剥离作用达到除锈的目的，酸洗时将产品放入酸洗槽中除锈，吊起自然脱水滴干酸洗液后进入后水洗工序。酸洗槽定期过滤捞渣（S2-2），重复使用不外排，定期补充。另酸洗工序会产生酸雾（G2-1）。</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（3）中和</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常温常压浸洗约1min，为进一步去除工件表面的残酸，造成工件的腐蚀，在清洗槽2之后设置1个中和槽。中和槽定期过滤捞渣（S2-3），槽液定期补充，平均半年更换1次，产生废槽液（S3-2）。</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（4）表调</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常压浸洗约1min，其目的为促进清洁表面的磷化能力，改善表面条件，使金属工件表面改变微观状态，在短时间及较低温度下胶体在工件表面吸附形成大量的结晶核磷化生长点，使工件表面活性均一化。表调槽定期过滤捞渣（S2-4），槽液定期补充，平均半年更换1次，产生废槽液（S3-3）。</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（5）磷化</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常压浸洗约5min，磷化是一种化学与电化学反应形成磷酸盐化学转化膜的过程，所形成的磷酸盐转化膜称之为磷化膜。磷化的目的主要是给基体金属提供保护，在一定程度上防止金属被腐蚀。酸洗槽定期过滤捞渣（S2-5），槽液定期补充，平均半年更换1次，产生废槽液（S3-4）。</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（6）清洗</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酸洗磷化线共设置3个清洗槽，分别为清洗槽1、清洗槽2与清洗槽3，分别用于脱脂后清洗、酸洗后清洗以及磷化后清洗。清洗工艺均为常温常压浸洗方式，清洗时长约1-1.5min，本项目须酸洗磷化的工件占比较小，因此设计清洗水更换周期为1个月，即平均1个月完全更换清洗槽内的清洗水，均通过清洗槽底部阀门排入集水池。清洗工序产生清洗废水（W1-1）、（W1-2）、（W1-3）。</w:t>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2-8 </w:t>
            </w:r>
            <w:r>
              <w:rPr>
                <w:rFonts w:hint="default" w:ascii="Times New Roman" w:hAnsi="Times New Roman" w:eastAsia="宋体" w:cs="Times New Roman"/>
                <w:b/>
                <w:bCs/>
                <w:color w:val="auto"/>
                <w:sz w:val="21"/>
                <w:szCs w:val="21"/>
              </w:rPr>
              <w:t>酸洗磷化表面处理线参数表</w:t>
            </w:r>
          </w:p>
          <w:tbl>
            <w:tblPr>
              <w:tblStyle w:val="11"/>
              <w:tblW w:w="0" w:type="auto"/>
              <w:jc w:val="center"/>
              <w:tblLayout w:type="autofit"/>
              <w:tblCellMar>
                <w:top w:w="0" w:type="dxa"/>
                <w:left w:w="0" w:type="dxa"/>
                <w:bottom w:w="0" w:type="dxa"/>
                <w:right w:w="0" w:type="dxa"/>
              </w:tblCellMar>
            </w:tblPr>
            <w:tblGrid>
              <w:gridCol w:w="326"/>
              <w:gridCol w:w="526"/>
              <w:gridCol w:w="554"/>
              <w:gridCol w:w="770"/>
              <w:gridCol w:w="658"/>
              <w:gridCol w:w="1840"/>
              <w:gridCol w:w="863"/>
              <w:gridCol w:w="1107"/>
              <w:gridCol w:w="2428"/>
            </w:tblGrid>
            <w:tr>
              <w:tblPrEx>
                <w:tblCellMar>
                  <w:top w:w="0" w:type="dxa"/>
                  <w:left w:w="0" w:type="dxa"/>
                  <w:bottom w:w="0" w:type="dxa"/>
                  <w:right w:w="0" w:type="dxa"/>
                </w:tblCellMar>
              </w:tblPrEx>
              <w:trPr>
                <w:trHeight w:val="23" w:hRule="atLeast"/>
                <w:jc w:val="center"/>
              </w:trPr>
              <w:tc>
                <w:tcPr>
                  <w:tcW w:w="0" w:type="auto"/>
                  <w:tcBorders>
                    <w:top w:val="single" w:color="000000" w:sz="12"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处理方式</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处理温度℃</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处理时间</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尺寸（长×宽×高）</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数量（个）</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有效容积（m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rPr>
                    <w:t>）</w:t>
                  </w:r>
                </w:p>
              </w:tc>
              <w:tc>
                <w:tcPr>
                  <w:tcW w:w="0" w:type="auto"/>
                  <w:tcBorders>
                    <w:top w:val="single" w:color="000000" w:sz="12"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槽液更换频率</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脱脂槽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定期过滤捞渣，补充损耗，平均半年更换1次</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清水槽1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1个月更换1次，无溢流</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酸洗槽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定期过滤捞渣，补充损耗，循环使用不更换</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清水槽2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1个月更换1次，无溢流</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中和槽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定期过滤捞渣，补充损耗，平均半年更换1次</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表调槽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定期过滤捞渣，补充损耗，平均半年更换1次</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磷化槽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定期过滤捞渣，补充损耗，平均半年更换1次</w:t>
                  </w:r>
                </w:p>
              </w:tc>
            </w:tr>
            <w:tr>
              <w:tblPrEx>
                <w:tblCellMar>
                  <w:top w:w="0" w:type="dxa"/>
                  <w:left w:w="0" w:type="dxa"/>
                  <w:bottom w:w="0" w:type="dxa"/>
                  <w:right w:w="0" w:type="dxa"/>
                </w:tblCellMar>
              </w:tblPrEx>
              <w:trPr>
                <w:trHeight w:val="23" w:hRule="atLeast"/>
                <w:jc w:val="center"/>
              </w:trPr>
              <w:tc>
                <w:tcPr>
                  <w:tcW w:w="0" w:type="auto"/>
                  <w:tcBorders>
                    <w:top w:val="single" w:color="000000" w:sz="4" w:space="0"/>
                    <w:left w:val="nil"/>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清水槽3</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浸洗</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1.96m×1.17m×1.20m</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op w:val="single" w:color="000000" w:sz="4" w:space="0"/>
                    <w:left w:val="single" w:color="000000" w:sz="4" w:space="0"/>
                    <w:bottom w:val="single" w:color="000000" w:sz="12"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1个月更换1次，无溢流</w:t>
                  </w:r>
                </w:p>
              </w:tc>
            </w:tr>
          </w:tbl>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宋体" w:hAnsi="宋体" w:eastAsia="宋体" w:cs="宋体"/>
                <w:sz w:val="24"/>
                <w:szCs w:val="24"/>
              </w:rPr>
            </w:pPr>
            <w:r>
              <w:rPr>
                <w:rFonts w:hint="default" w:ascii="宋体" w:hAnsi="宋体" w:eastAsia="宋体" w:cs="宋体"/>
                <w:sz w:val="24"/>
                <w:szCs w:val="24"/>
              </w:rPr>
              <w:t>注：表中</w:t>
            </w:r>
            <w:r>
              <w:rPr>
                <w:rFonts w:hint="default" w:ascii="Times New Roman" w:hAnsi="Times New Roman" w:eastAsia="Times New Roman" w:cs="Times New Roman"/>
                <w:spacing w:val="-7"/>
                <w:sz w:val="24"/>
                <w:szCs w:val="24"/>
              </w:rPr>
              <w:t>RT</w:t>
            </w:r>
            <w:r>
              <w:rPr>
                <w:rFonts w:hint="default" w:ascii="宋体" w:hAnsi="宋体" w:eastAsia="宋体" w:cs="宋体"/>
                <w:sz w:val="24"/>
                <w:szCs w:val="24"/>
              </w:rPr>
              <w:t>代表常温。</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2）硅烷化表面处理工艺</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本项目硅烷化表面处理工艺用于对生锈情况较轻的铁制电机外壳喷塑前的表面处理，根据企业提供资料，预计约40%的铁制电机外壳（24000个/a）须进行硅烷化表面处理，具体工艺如下：</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sz w:val="24"/>
                <w:szCs w:val="24"/>
              </w:rPr>
            </w:pPr>
            <w:r>
              <w:drawing>
                <wp:inline distT="0" distB="0" distL="114300" distR="114300">
                  <wp:extent cx="5595620" cy="2425700"/>
                  <wp:effectExtent l="0" t="0" r="5080" b="1270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8"/>
                          <a:stretch>
                            <a:fillRect/>
                          </a:stretch>
                        </pic:blipFill>
                        <pic:spPr>
                          <a:xfrm>
                            <a:off x="0" y="0"/>
                            <a:ext cx="5595620" cy="2425700"/>
                          </a:xfrm>
                          <a:prstGeom prst="rect">
                            <a:avLst/>
                          </a:prstGeom>
                          <a:noFill/>
                          <a:ln>
                            <a:noFill/>
                          </a:ln>
                        </pic:spPr>
                      </pic:pic>
                    </a:graphicData>
                  </a:graphic>
                </wp:inline>
              </w:drawing>
            </w:r>
          </w:p>
          <w:p>
            <w:pPr>
              <w:widowControl w:val="0"/>
              <w:adjustRightInd/>
              <w:snapToGrid/>
              <w:spacing w:after="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2-9 </w:t>
            </w:r>
            <w:r>
              <w:rPr>
                <w:rFonts w:hint="eastAsia" w:ascii="Times New Roman" w:hAnsi="Times New Roman" w:eastAsia="宋体" w:cs="Times New Roman"/>
                <w:b/>
                <w:bCs/>
                <w:color w:val="auto"/>
                <w:sz w:val="21"/>
                <w:szCs w:val="21"/>
              </w:rPr>
              <w:t>技改项目配套硅烷化表面处理工艺流程及产污环节图</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工艺流程简述：</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工件由传送装置吊运沿流水线缓慢前进，工件依次经过预脱脂区、主脱脂区、清洗区、清洗区、清洗区、硅烷化区、清洗区、清洗区，每个区域顶部与两侧都有大量喷头，对整个工件各个表面进行喷淋，喷淋液/水全部来自各自区域下部对应的储液/水槽，各槽相互独立。</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（1）脱脂</w:t>
            </w:r>
          </w:p>
          <w:p>
            <w:pPr>
              <w:adjustRightInd/>
              <w:snapToGrid/>
              <w:spacing w:after="0" w:line="336"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项目脱脂工序有预脱脂与主脱脂两道，其中预脱脂常温常压喷淋约1min，主脱脂常压，55~60℃下喷淋约5min</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环评设计阶段主脱脂采用天然气燃烧机供热，实际生产阶段采用一根循环水管通过喷塑后固化烘道内，利用水循环供热</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color w:val="auto"/>
                <w:sz w:val="24"/>
              </w:rPr>
              <w:t>。脱脂的目的在于清除掉工件表面的油污。喷淋液在喷淋工件后全部回流入相应的储液槽内，槽体设置液位计，当液位低于限定液面时，自动控制系统会自动从储液槽上部注入水和脱脂剂进行补充。脱脂槽液一般3-4个月更换1次，产生脱脂废液（S5-1、S5-2）</w:t>
            </w:r>
            <w:r>
              <w:rPr>
                <w:rFonts w:hint="eastAsia" w:ascii="Times New Roman" w:hAnsi="Times New Roman" w:eastAsia="宋体" w:cs="Times New Roman"/>
                <w:color w:val="auto"/>
                <w:sz w:val="24"/>
                <w:lang w:eastAsia="zh-CN"/>
              </w:rPr>
              <w:t>。</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（2）硅烷化</w:t>
            </w:r>
          </w:p>
          <w:p>
            <w:pPr>
              <w:adjustRightInd/>
              <w:snapToGrid/>
              <w:spacing w:after="0" w:line="336"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常温常压喷淋约2min，经硅烷化处理后工件界面上形成Si-O-Me共价键，共价键间的作用力可达700kJ/tool，硅烷与金属之间的结合是非常牢固的，另一方面，剩余的硅烷分子通过SiOH基团之间的缩聚反应在金属表面形成具有Si-O-Si三维网状结构的硅烷膜，该硅烷膜在烘干过程中和后道的塑粉通过交联反应结合在一起，形成牢固的化学键。相较于磷化表面处理，硅烷化处理不含锌、镍等有害重金属及其他有害成分，且无渣。硅烷喷淋液在喷淋工件后全部回流入相应的储液槽内，槽体设置液位计，当液位低于限定液面时，自动控制系统会自动从储液槽上部注入水和硅烷剂进行补充。硅烷槽液一般3-4个月更换1次，产生硅烷废液（S5-3）</w:t>
            </w:r>
            <w:r>
              <w:rPr>
                <w:rFonts w:hint="eastAsia" w:ascii="Times New Roman" w:hAnsi="Times New Roman" w:eastAsia="宋体" w:cs="Times New Roman"/>
                <w:color w:val="auto"/>
                <w:sz w:val="24"/>
                <w:lang w:eastAsia="zh-CN"/>
              </w:rPr>
              <w:t>。</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（3）清洗</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常温常压喷淋约1min，本项目硅烷化表面处理线共设置5个喷淋清洗区域，其中清洗4、清洗5、清洗6用于脱脂后清洗，清洗7、清洗8用于硅烷化后清洗，喷淋清洗的目的在于去除前道工序加工后的工件表面残留液。喷淋水在喷淋工件后全部回流入相应的储水槽内，槽体设置液位计，当液位低于限定液面时，自动控制系统会自动从储水槽上部注水进行补充。流水线中，清洗4与清洗7底部水槽废水溢流排放（W2-1、W2-2），其余水槽溢流水逆补至前一道清洗工序的储水槽内。</w:t>
            </w:r>
          </w:p>
          <w:p>
            <w:pPr>
              <w:widowControl w:val="0"/>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2-9 </w:t>
            </w:r>
            <w:r>
              <w:rPr>
                <w:rFonts w:hint="default" w:ascii="Times New Roman" w:hAnsi="Times New Roman" w:eastAsia="宋体" w:cs="Times New Roman"/>
                <w:b/>
                <w:bCs/>
                <w:color w:val="auto"/>
                <w:sz w:val="21"/>
                <w:szCs w:val="21"/>
              </w:rPr>
              <w:t>硅烷化表面处理线参数表</w:t>
            </w:r>
          </w:p>
          <w:tbl>
            <w:tblPr>
              <w:tblStyle w:val="11"/>
              <w:tblW w:w="0" w:type="auto"/>
              <w:tblInd w:w="0" w:type="dxa"/>
              <w:tblLayout w:type="autofit"/>
              <w:tblCellMar>
                <w:top w:w="0" w:type="dxa"/>
                <w:left w:w="0" w:type="dxa"/>
                <w:bottom w:w="0" w:type="dxa"/>
                <w:right w:w="0" w:type="dxa"/>
              </w:tblCellMar>
            </w:tblPr>
            <w:tblGrid>
              <w:gridCol w:w="321"/>
              <w:gridCol w:w="562"/>
              <w:gridCol w:w="450"/>
              <w:gridCol w:w="683"/>
              <w:gridCol w:w="647"/>
              <w:gridCol w:w="2230"/>
              <w:gridCol w:w="851"/>
              <w:gridCol w:w="1122"/>
              <w:gridCol w:w="2206"/>
            </w:tblGrid>
            <w:tr>
              <w:tblPrEx>
                <w:tblCellMar>
                  <w:top w:w="0" w:type="dxa"/>
                  <w:left w:w="0" w:type="dxa"/>
                  <w:bottom w:w="0" w:type="dxa"/>
                  <w:right w:w="0" w:type="dxa"/>
                </w:tblCellMar>
              </w:tblPrEx>
              <w:trPr>
                <w:trHeight w:val="23" w:hRule="atLeast"/>
              </w:trPr>
              <w:tc>
                <w:tcPr>
                  <w:tcW w:w="0" w:type="auto"/>
                  <w:tcBorders>
                    <w:top w:val="single" w:color="000000" w:sz="12"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562"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50"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处理方式</w:t>
                  </w:r>
                </w:p>
              </w:tc>
              <w:tc>
                <w:tcPr>
                  <w:tcW w:w="683" w:type="dxa"/>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处理温度℃</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处理时间</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储液/水槽尺寸（长×宽×高）</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数量（个）</w:t>
                  </w:r>
                </w:p>
              </w:tc>
              <w:tc>
                <w:tcPr>
                  <w:tcW w:w="0" w:type="auto"/>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有效容积（m3）</w:t>
                  </w:r>
                </w:p>
              </w:tc>
              <w:tc>
                <w:tcPr>
                  <w:tcW w:w="0" w:type="auto"/>
                  <w:tcBorders>
                    <w:top w:val="single" w:color="000000" w:sz="12"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储液/水槽更换频率</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预脱脂</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1.90m×1.28×0.95m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2.31</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3-4个月更换1次</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主脱脂</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eastAsia="zh-CN"/>
                    </w:rPr>
                    <w:t>55~60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1.90m×2.50m×0.95m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4.51</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3-4个月更换1次</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清洗4</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1.78m×1.20m×0.95m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溢流排放，溢流量0.5t/h，无需定期更换</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清洗5</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1.78m×1.20m×0.95m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逆补至喷淋清洗4储水槽</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清洗6</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1.78m×1.20m×0.95m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逆补至喷淋清洗5储水槽</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硅烷化</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1.78m×2.40m×0.95m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4.06</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3-4个月更换1次</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清洗7</w:t>
                  </w:r>
                </w:p>
              </w:tc>
              <w:tc>
                <w:tcPr>
                  <w:tcW w:w="4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1.78m×1.20m×0.95m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w:t>
                  </w:r>
                </w:p>
              </w:tc>
              <w:tc>
                <w:tcPr>
                  <w:tcW w:w="0" w:type="auto"/>
                  <w:tcBorders>
                    <w:top w:val="single" w:color="000000" w:sz="4" w:space="0"/>
                    <w:left w:val="single" w:color="000000" w:sz="4" w:space="0"/>
                    <w:bottom w:val="single" w:color="000000" w:sz="4"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溢流排放，溢流量0.5t/h，无需定期更换</w:t>
                  </w:r>
                </w:p>
              </w:tc>
            </w:tr>
            <w:tr>
              <w:tblPrEx>
                <w:tblCellMar>
                  <w:top w:w="0" w:type="dxa"/>
                  <w:left w:w="0" w:type="dxa"/>
                  <w:bottom w:w="0" w:type="dxa"/>
                  <w:right w:w="0" w:type="dxa"/>
                </w:tblCellMar>
              </w:tblPrEx>
              <w:trPr>
                <w:trHeight w:val="23" w:hRule="atLeast"/>
              </w:trPr>
              <w:tc>
                <w:tcPr>
                  <w:tcW w:w="0" w:type="auto"/>
                  <w:tcBorders>
                    <w:top w:val="single" w:color="000000" w:sz="4" w:space="0"/>
                    <w:left w:val="nil"/>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8</w:t>
                  </w:r>
                </w:p>
              </w:tc>
              <w:tc>
                <w:tcPr>
                  <w:tcW w:w="562"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清洗8</w:t>
                  </w:r>
                </w:p>
              </w:tc>
              <w:tc>
                <w:tcPr>
                  <w:tcW w:w="450"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3"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RT</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1min</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1.78m×1.20m×0.95m</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2.03</w:t>
                  </w:r>
                </w:p>
              </w:tc>
              <w:tc>
                <w:tcPr>
                  <w:tcW w:w="0" w:type="auto"/>
                  <w:tcBorders>
                    <w:top w:val="single" w:color="000000" w:sz="4" w:space="0"/>
                    <w:left w:val="single" w:color="000000" w:sz="4" w:space="0"/>
                    <w:bottom w:val="single" w:color="000000" w:sz="12" w:space="0"/>
                    <w:right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逆补至喷淋清洗7储水槽</w:t>
                  </w:r>
                </w:p>
              </w:tc>
            </w:tr>
          </w:tbl>
          <w:p>
            <w:pPr>
              <w:pStyle w:val="1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宋体" w:hAnsi="宋体" w:eastAsia="宋体" w:cs="宋体"/>
                <w:sz w:val="24"/>
                <w:szCs w:val="24"/>
              </w:rPr>
            </w:pPr>
            <w:r>
              <w:rPr>
                <w:rFonts w:hint="default" w:ascii="宋体" w:hAnsi="宋体" w:eastAsia="宋体" w:cs="宋体"/>
                <w:sz w:val="24"/>
                <w:szCs w:val="24"/>
              </w:rPr>
              <w:t>注：表中</w:t>
            </w:r>
            <w:r>
              <w:rPr>
                <w:rFonts w:hint="default" w:ascii="Times New Roman" w:hAnsi="Times New Roman" w:eastAsia="Times New Roman" w:cs="Times New Roman"/>
                <w:spacing w:val="-7"/>
                <w:sz w:val="24"/>
                <w:szCs w:val="24"/>
              </w:rPr>
              <w:t>RT</w:t>
            </w:r>
            <w:r>
              <w:rPr>
                <w:rFonts w:hint="default" w:ascii="宋体" w:hAnsi="宋体" w:eastAsia="宋体" w:cs="宋体"/>
                <w:sz w:val="24"/>
                <w:szCs w:val="24"/>
              </w:rPr>
              <w:t>代表常温。</w:t>
            </w:r>
          </w:p>
          <w:p>
            <w:pPr>
              <w:adjustRightInd/>
              <w:snapToGrid/>
              <w:spacing w:after="0" w:line="336"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喷塑与固化</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配置1条全自动喷塑线，喷塑线配置2个自动喷塑柜（1用1备，每个自动喷塑柜两侧各设置1个补喷台）、1个手工喷塑台（闲置）、1个烘道。自动喷塑柜内喷枪安装在端部的固定支架，按照预先编制好的PLC程序，上下往复喷涂，两侧补喷台各配置一把喷枪，对工件死角、凹槽等位置进行补喷。喷涂后通过传送装置转入固化烘道进行固化。</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4）浸漆与晾干</w:t>
            </w:r>
          </w:p>
          <w:p>
            <w:pPr>
              <w:adjustRightInd/>
              <w:snapToGrid/>
              <w:spacing w:after="0" w:line="336"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配置2个浸漆、晾干一体设备，其浸漆槽尺寸均为3.5m×0.2m×0.3m。定子成品并清洗后浸入浸漆槽后立刻拿出静置于紧邻的晾干台，静置约12h后完成。晾干台为金属网，静置晾干过程中滴漏的漆液通过下部收集槽收集后产生漆渣（S</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w:t>
            </w: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本项目污染工序及污染因子汇总见下表。</w:t>
            </w:r>
          </w:p>
          <w:p>
            <w:pPr>
              <w:widowControl w:val="0"/>
              <w:adjustRightInd/>
              <w:snapToGrid/>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2-10 </w:t>
            </w:r>
            <w:r>
              <w:rPr>
                <w:rFonts w:ascii="Times New Roman" w:hAnsi="Times New Roman" w:eastAsia="宋体" w:cs="Times New Roman"/>
                <w:b/>
                <w:bCs/>
                <w:color w:val="auto"/>
                <w:sz w:val="21"/>
                <w:szCs w:val="21"/>
              </w:rPr>
              <w:t>本项目污染物（因子）一览表</w:t>
            </w:r>
          </w:p>
          <w:tbl>
            <w:tblPr>
              <w:tblStyle w:val="11"/>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909"/>
              <w:gridCol w:w="2510"/>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2" w:type="pct"/>
                  <w:gridSpan w:val="3"/>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主要污染源</w:t>
                  </w:r>
                </w:p>
              </w:tc>
              <w:tc>
                <w:tcPr>
                  <w:tcW w:w="1577"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类别</w:t>
                  </w: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污染物名称</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产生部位</w:t>
                  </w:r>
                </w:p>
              </w:tc>
              <w:tc>
                <w:tcPr>
                  <w:tcW w:w="1577"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w:t>
                  </w: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G1/G5粉尘</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气枪吹尘</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2酸雾</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酸洗槽</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HCL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喷塑粉尘</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喷塑房</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喷塑固化废气</w:t>
                  </w:r>
                  <w:r>
                    <w:rPr>
                      <w:rFonts w:hint="eastAsia" w:ascii="Times New Roman" w:hAnsi="Times New Roman" w:eastAsia="宋体" w:cs="Times New Roman"/>
                      <w:sz w:val="21"/>
                      <w:szCs w:val="21"/>
                      <w:lang w:val="en-US" w:eastAsia="zh-CN"/>
                    </w:rPr>
                    <w:t>及燃烧废气</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喷塑烘道</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非甲烷总烃</w:t>
                  </w:r>
                  <w:r>
                    <w:rPr>
                      <w:rFonts w:hint="eastAsia" w:ascii="Times New Roman" w:hAnsi="Times New Roman" w:eastAsia="宋体" w:cs="Times New Roman"/>
                      <w:sz w:val="21"/>
                      <w:szCs w:val="21"/>
                      <w:lang w:val="en-US" w:eastAsia="zh-CN"/>
                    </w:rPr>
                    <w:t>、颗粒物、氮氧化物、二氧化硫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lang w:val="en-US" w:eastAsia="zh-CN"/>
                    </w:rPr>
                    <w:t>6浸漆及烘干废气</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浸漆、晾干一体设备</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废水</w:t>
                  </w: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W1酸洗磷化废水</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酸洗磷化流水线</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pH、COD、SS、氨氮、石油类、总铁、总锰、总磷、总锌、总氮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W2硅烷化废水</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硅烷化</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pH、COD、SS、石油类、氨氮、总氮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W3/W4超声波清洗</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超声波清洗机</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pH、COD、SS、石油类、LAS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w:t>
                  </w:r>
                  <w:r>
                    <w:rPr>
                      <w:rFonts w:hint="eastAsia" w:ascii="Times New Roman" w:hAnsi="Times New Roman" w:eastAsia="宋体" w:cs="Times New Roman"/>
                      <w:sz w:val="21"/>
                      <w:szCs w:val="21"/>
                      <w:lang w:val="en-US" w:eastAsia="zh-CN"/>
                    </w:rPr>
                    <w:t>5喷淋塔废水</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二级碱液喷淋塔</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pH、COD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噪声</w:t>
                  </w:r>
                </w:p>
              </w:tc>
              <w:tc>
                <w:tcPr>
                  <w:tcW w:w="2986" w:type="pct"/>
                  <w:gridSpan w:val="2"/>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设备噪声</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固废</w:t>
                  </w: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S1/S6/S7</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下料打眼、下料冲压</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金属屑及边料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S2</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酸洗磷化</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槽渣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S3</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酸洗磷化</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废槽液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S4</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废塑粉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S5</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硅烷化</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废槽液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bookmarkStart w:id="12" w:name="_Toc699"/>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S8</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晾干</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水性漆渣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2818"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S9</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废水处理</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S10</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废气治理</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S11</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酸、表调剂、磷化剂、硅烷剂等原料使用</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rPr>
                  </w:pPr>
                </w:p>
              </w:tc>
              <w:tc>
                <w:tcPr>
                  <w:tcW w:w="160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S12</w:t>
                  </w:r>
                </w:p>
              </w:tc>
              <w:tc>
                <w:tcPr>
                  <w:tcW w:w="1383"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塑粉等使用</w:t>
                  </w:r>
                </w:p>
              </w:tc>
              <w:tc>
                <w:tcPr>
                  <w:tcW w:w="15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一般性包装材料</w:t>
                  </w:r>
                </w:p>
              </w:tc>
            </w:tr>
            <w:bookmarkEnd w:id="12"/>
          </w:tbl>
          <w:p>
            <w:pPr>
              <w:widowControl w:val="0"/>
              <w:adjustRightInd/>
              <w:snapToGrid/>
              <w:spacing w:after="0" w:line="336" w:lineRule="auto"/>
              <w:ind w:firstLine="562" w:firstLineChars="200"/>
              <w:jc w:val="both"/>
              <w:rPr>
                <w:rFonts w:ascii="Times New Roman" w:hAnsi="Times New Roman" w:eastAsia="宋体" w:cs="Times New Roman"/>
                <w:b/>
                <w:color w:val="auto"/>
                <w:kern w:val="2"/>
                <w:sz w:val="28"/>
                <w:szCs w:val="28"/>
              </w:rPr>
            </w:pPr>
            <w:r>
              <w:rPr>
                <w:rFonts w:hint="eastAsia" w:ascii="Times New Roman" w:hAnsi="Times New Roman" w:eastAsia="宋体" w:cs="Times New Roman"/>
                <w:b/>
                <w:color w:val="auto"/>
                <w:kern w:val="2"/>
                <w:sz w:val="28"/>
                <w:szCs w:val="28"/>
              </w:rPr>
              <w:t>2.</w:t>
            </w:r>
            <w:r>
              <w:rPr>
                <w:rFonts w:hint="eastAsia" w:ascii="Times New Roman" w:hAnsi="Times New Roman" w:eastAsia="宋体" w:cs="Times New Roman"/>
                <w:b/>
                <w:color w:val="auto"/>
                <w:kern w:val="2"/>
                <w:sz w:val="28"/>
                <w:szCs w:val="28"/>
                <w:lang w:val="en-US" w:eastAsia="zh-CN"/>
              </w:rPr>
              <w:t>4工程环境保护投资明细</w:t>
            </w:r>
            <w:r>
              <w:rPr>
                <w:rFonts w:ascii="Times New Roman" w:hAnsi="Times New Roman" w:eastAsia="宋体" w:cs="Times New Roman"/>
                <w:b/>
                <w:color w:val="auto"/>
                <w:kern w:val="2"/>
                <w:sz w:val="28"/>
                <w:szCs w:val="28"/>
              </w:rPr>
              <w:t>：</w:t>
            </w:r>
          </w:p>
          <w:p>
            <w:pPr>
              <w:adjustRightInd/>
              <w:snapToGrid/>
              <w:spacing w:after="0" w:line="336"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本项目计划总投资</w:t>
            </w:r>
            <w:r>
              <w:rPr>
                <w:rFonts w:hint="eastAsia" w:ascii="Times New Roman" w:hAnsi="Times New Roman" w:eastAsia="宋体" w:cs="Times New Roman"/>
                <w:color w:val="auto"/>
                <w:sz w:val="24"/>
                <w:lang w:val="en-US" w:eastAsia="zh-CN"/>
              </w:rPr>
              <w:t>200</w:t>
            </w:r>
            <w:r>
              <w:rPr>
                <w:rFonts w:hint="eastAsia" w:ascii="Times New Roman" w:hAnsi="Times New Roman" w:eastAsia="宋体" w:cs="Times New Roman"/>
                <w:color w:val="auto"/>
                <w:sz w:val="24"/>
              </w:rPr>
              <w:t>万元，环保投资</w:t>
            </w:r>
            <w:r>
              <w:rPr>
                <w:rFonts w:hint="eastAsia" w:ascii="Times New Roman" w:hAnsi="Times New Roman" w:eastAsia="宋体" w:cs="Times New Roman"/>
                <w:color w:val="auto"/>
                <w:sz w:val="24"/>
                <w:lang w:val="en-US" w:eastAsia="zh-CN"/>
              </w:rPr>
              <w:t>67</w:t>
            </w:r>
            <w:r>
              <w:rPr>
                <w:rFonts w:hint="eastAsia" w:ascii="Times New Roman" w:hAnsi="Times New Roman" w:eastAsia="宋体" w:cs="Times New Roman"/>
                <w:color w:val="auto"/>
                <w:sz w:val="24"/>
              </w:rPr>
              <w:t>万元，占总投资比例为</w:t>
            </w:r>
            <w:r>
              <w:rPr>
                <w:rFonts w:hint="eastAsia" w:ascii="Times New Roman" w:hAnsi="Times New Roman" w:eastAsia="宋体" w:cs="Times New Roman"/>
                <w:color w:val="auto"/>
                <w:sz w:val="24"/>
                <w:lang w:val="en-US" w:eastAsia="zh-CN"/>
              </w:rPr>
              <w:t>33.5</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现阶段</w:t>
            </w:r>
            <w:r>
              <w:rPr>
                <w:rFonts w:hint="eastAsia" w:ascii="Times New Roman" w:hAnsi="Times New Roman" w:eastAsia="宋体" w:cs="Times New Roman"/>
                <w:color w:val="auto"/>
                <w:sz w:val="24"/>
              </w:rPr>
              <w:t>实际投资</w:t>
            </w:r>
            <w:r>
              <w:rPr>
                <w:rFonts w:hint="eastAsia" w:ascii="Times New Roman" w:hAnsi="Times New Roman" w:eastAsia="宋体" w:cs="Times New Roman"/>
                <w:color w:val="auto"/>
                <w:sz w:val="24"/>
                <w:lang w:val="en-US" w:eastAsia="zh-CN"/>
              </w:rPr>
              <w:t>200</w:t>
            </w:r>
            <w:r>
              <w:rPr>
                <w:rFonts w:hint="eastAsia" w:ascii="Times New Roman" w:hAnsi="Times New Roman" w:eastAsia="宋体" w:cs="Times New Roman"/>
                <w:color w:val="auto"/>
                <w:sz w:val="24"/>
              </w:rPr>
              <w:t>万元，环保投资</w:t>
            </w:r>
            <w:r>
              <w:rPr>
                <w:rFonts w:hint="eastAsia" w:ascii="Times New Roman" w:hAnsi="Times New Roman" w:eastAsia="宋体" w:cs="Times New Roman"/>
                <w:color w:val="auto"/>
                <w:sz w:val="24"/>
                <w:lang w:val="en-US" w:eastAsia="zh-CN"/>
              </w:rPr>
              <w:t>67</w:t>
            </w:r>
            <w:r>
              <w:rPr>
                <w:rFonts w:hint="eastAsia" w:ascii="Times New Roman" w:hAnsi="Times New Roman" w:eastAsia="宋体" w:cs="Times New Roman"/>
                <w:color w:val="auto"/>
                <w:sz w:val="24"/>
              </w:rPr>
              <w:t>万元，占总投资比例为</w:t>
            </w:r>
            <w:r>
              <w:rPr>
                <w:rFonts w:hint="eastAsia" w:ascii="Times New Roman" w:hAnsi="Times New Roman" w:eastAsia="宋体" w:cs="Times New Roman"/>
                <w:color w:val="auto"/>
                <w:sz w:val="24"/>
                <w:lang w:val="en-US" w:eastAsia="zh-CN"/>
              </w:rPr>
              <w:t>33.5</w:t>
            </w:r>
            <w:r>
              <w:rPr>
                <w:rFonts w:hint="eastAsia" w:ascii="Times New Roman" w:hAnsi="Times New Roman" w:eastAsia="宋体" w:cs="Times New Roman"/>
                <w:color w:val="auto"/>
                <w:sz w:val="24"/>
              </w:rPr>
              <w:t>%，具体环保投资明细详见</w:t>
            </w:r>
            <w:r>
              <w:rPr>
                <w:rFonts w:hint="eastAsia" w:ascii="Times New Roman" w:hAnsi="Times New Roman" w:eastAsia="宋体" w:cs="Times New Roman"/>
                <w:color w:val="auto"/>
                <w:sz w:val="24"/>
                <w:lang w:val="en-US" w:eastAsia="zh-CN"/>
              </w:rPr>
              <w:t>下</w:t>
            </w:r>
            <w:r>
              <w:rPr>
                <w:rFonts w:hint="eastAsia" w:ascii="Times New Roman" w:hAnsi="Times New Roman" w:eastAsia="宋体" w:cs="Times New Roman"/>
                <w:color w:val="auto"/>
                <w:sz w:val="24"/>
              </w:rPr>
              <w:t>表。</w:t>
            </w:r>
          </w:p>
          <w:p>
            <w:pPr>
              <w:widowControl w:val="0"/>
              <w:adjustRightInd/>
              <w:snapToGrid/>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11 本次</w:t>
            </w:r>
            <w:r>
              <w:rPr>
                <w:rFonts w:hint="eastAsia" w:ascii="Times New Roman" w:hAnsi="Times New Roman" w:eastAsia="宋体" w:cs="Times New Roman"/>
                <w:b/>
                <w:bCs/>
                <w:color w:val="auto"/>
                <w:sz w:val="21"/>
                <w:szCs w:val="21"/>
              </w:rPr>
              <w:t>环保工程投资情况明细表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281"/>
              <w:gridCol w:w="4723"/>
              <w:gridCol w:w="1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28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治理项目</w:t>
                  </w: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治理内容及规模</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81" w:type="dxa"/>
                  <w:vMerge w:val="restart"/>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酸雾废气处理设施</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128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喷塑粉尘</w:t>
                  </w:r>
                  <w:r>
                    <w:rPr>
                      <w:rFonts w:hint="eastAsia" w:ascii="Times New Roman" w:hAnsi="Times New Roman" w:eastAsia="宋体" w:cs="Times New Roman"/>
                      <w:sz w:val="21"/>
                      <w:szCs w:val="21"/>
                      <w:lang w:val="en-US" w:eastAsia="zh-CN"/>
                    </w:rPr>
                    <w:t>排放系统</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128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喷塑固化废气</w:t>
                  </w:r>
                  <w:r>
                    <w:rPr>
                      <w:rFonts w:hint="eastAsia" w:ascii="Times New Roman" w:hAnsi="Times New Roman" w:eastAsia="宋体" w:cs="Times New Roman"/>
                      <w:sz w:val="21"/>
                      <w:szCs w:val="21"/>
                      <w:lang w:val="en-US" w:eastAsia="zh-CN"/>
                    </w:rPr>
                    <w:t>处理设施</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1281" w:type="dxa"/>
                  <w:vMerge w:val="continue"/>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浸漆及烘干废气处理设施</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28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生产废水治理设施、管道等</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28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设备隔声降噪措施、车间整体吸隔声措施等</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281" w:type="dxa"/>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4723"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r>
                    <w:rPr>
                      <w:rFonts w:hint="default" w:ascii="Times New Roman" w:hAnsi="Times New Roman" w:eastAsia="宋体" w:cs="Times New Roman"/>
                      <w:sz w:val="21"/>
                      <w:szCs w:val="21"/>
                      <w:lang w:val="en-US" w:eastAsia="zh-CN"/>
                    </w:rPr>
                    <w:t>危废仓库、一般固废堆放</w:t>
                  </w:r>
                  <w:r>
                    <w:rPr>
                      <w:rFonts w:hint="eastAsia" w:ascii="Times New Roman" w:hAnsi="Times New Roman" w:eastAsia="宋体" w:cs="Times New Roman"/>
                      <w:sz w:val="21"/>
                      <w:szCs w:val="21"/>
                      <w:lang w:val="en-US" w:eastAsia="zh-CN"/>
                    </w:rPr>
                    <w:t>，固废委托处置、</w:t>
                  </w:r>
                  <w:r>
                    <w:rPr>
                      <w:rFonts w:hint="default" w:ascii="Times New Roman" w:hAnsi="Times New Roman" w:eastAsia="宋体" w:cs="Times New Roman"/>
                      <w:sz w:val="21"/>
                      <w:szCs w:val="21"/>
                      <w:lang w:val="en-US" w:eastAsia="zh-CN"/>
                    </w:rPr>
                    <w:t>生活垃圾环卫清运</w:t>
                  </w:r>
                  <w:r>
                    <w:rPr>
                      <w:rFonts w:hint="eastAsia" w:ascii="Times New Roman" w:hAnsi="Times New Roman" w:eastAsia="宋体" w:cs="Times New Roman"/>
                      <w:sz w:val="21"/>
                      <w:szCs w:val="21"/>
                      <w:lang w:val="en-US" w:eastAsia="zh-CN"/>
                    </w:rPr>
                    <w:t>费用</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5" w:type="dxa"/>
                  <w:gridSpan w:val="3"/>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合计</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5" w:type="dxa"/>
                  <w:gridSpan w:val="3"/>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总投资</w:t>
                  </w:r>
                </w:p>
              </w:tc>
              <w:tc>
                <w:tcPr>
                  <w:tcW w:w="1884"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5" w:type="dxa"/>
                  <w:gridSpan w:val="3"/>
                  <w:noWrap w:val="0"/>
                  <w:vAlign w:val="center"/>
                </w:tcPr>
                <w:p>
                  <w:pPr>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环保投资占总投资比例</w:t>
                  </w:r>
                </w:p>
              </w:tc>
              <w:tc>
                <w:tcPr>
                  <w:tcW w:w="1884" w:type="dxa"/>
                  <w:noWrap w:val="0"/>
                  <w:vAlign w:val="center"/>
                </w:tcPr>
                <w:p>
                  <w:pPr>
                    <w:adjustRightInd/>
                    <w:snapToGrid/>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33.5%</w:t>
                  </w:r>
                </w:p>
              </w:tc>
            </w:tr>
          </w:tbl>
          <w:p>
            <w:pPr>
              <w:widowControl w:val="0"/>
              <w:adjustRightInd/>
              <w:snapToGrid/>
              <w:spacing w:after="0" w:line="360" w:lineRule="auto"/>
              <w:jc w:val="both"/>
              <w:rPr>
                <w:rFonts w:ascii="Times New Roman" w:hAnsi="Times New Roman" w:eastAsia="宋体"/>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PrEx>
        <w:trPr>
          <w:trHeight w:val="2551" w:hRule="atLeast"/>
          <w:jc w:val="center"/>
        </w:trPr>
        <w:tc>
          <w:tcPr>
            <w:tcW w:w="5000" w:type="pct"/>
            <w:tcBorders>
              <w:top w:val="single" w:color="000000" w:sz="4" w:space="0"/>
              <w:left w:val="single" w:color="000000" w:sz="4" w:space="0"/>
              <w:bottom w:val="single" w:color="000000" w:sz="4" w:space="0"/>
              <w:right w:val="single" w:color="000000" w:sz="4" w:space="0"/>
            </w:tcBorders>
            <w:noWrap w:val="0"/>
            <w:vAlign w:val="top"/>
          </w:tcPr>
          <w:p>
            <w:pPr>
              <w:widowControl w:val="0"/>
              <w:adjustRightInd/>
              <w:snapToGrid/>
              <w:spacing w:after="0" w:line="336" w:lineRule="auto"/>
              <w:ind w:firstLine="562" w:firstLineChars="200"/>
              <w:jc w:val="both"/>
              <w:rPr>
                <w:rFonts w:ascii="Times New Roman" w:hAnsi="Times New Roman" w:eastAsia="宋体" w:cs="Times New Roman"/>
                <w:b/>
                <w:color w:val="auto"/>
                <w:kern w:val="2"/>
                <w:sz w:val="28"/>
                <w:szCs w:val="28"/>
              </w:rPr>
            </w:pPr>
            <w:r>
              <w:rPr>
                <w:rFonts w:hint="eastAsia" w:ascii="Times New Roman" w:hAnsi="Times New Roman" w:eastAsia="宋体" w:cs="Times New Roman"/>
                <w:b/>
                <w:color w:val="auto"/>
                <w:kern w:val="2"/>
                <w:sz w:val="28"/>
                <w:szCs w:val="28"/>
              </w:rPr>
              <w:t>2.</w:t>
            </w:r>
            <w:r>
              <w:rPr>
                <w:rFonts w:hint="eastAsia" w:ascii="Times New Roman" w:hAnsi="Times New Roman" w:eastAsia="宋体" w:cs="Times New Roman"/>
                <w:b/>
                <w:color w:val="auto"/>
                <w:kern w:val="2"/>
                <w:sz w:val="28"/>
                <w:szCs w:val="28"/>
                <w:lang w:val="en-US" w:eastAsia="zh-CN"/>
              </w:rPr>
              <w:t>5项目变动情况</w:t>
            </w:r>
            <w:r>
              <w:rPr>
                <w:rFonts w:ascii="Times New Roman" w:hAnsi="Times New Roman" w:eastAsia="宋体" w:cs="Times New Roman"/>
                <w:b/>
                <w:color w:val="auto"/>
                <w:kern w:val="2"/>
                <w:sz w:val="28"/>
                <w:szCs w:val="28"/>
              </w:rPr>
              <w:t>：</w:t>
            </w:r>
          </w:p>
          <w:p>
            <w:pPr>
              <w:widowControl w:val="0"/>
              <w:adjustRightInd/>
              <w:snapToGrid/>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12 项目变更情况汇总表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3750"/>
              <w:gridCol w:w="3010"/>
              <w:gridCol w:w="1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类别</w:t>
                  </w:r>
                </w:p>
              </w:tc>
              <w:tc>
                <w:tcPr>
                  <w:tcW w:w="3750"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重大变动清单</w:t>
                  </w:r>
                </w:p>
              </w:tc>
              <w:tc>
                <w:tcPr>
                  <w:tcW w:w="3010"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项目实际建设内容</w:t>
                  </w:r>
                </w:p>
              </w:tc>
              <w:tc>
                <w:tcPr>
                  <w:tcW w:w="1148"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性质</w:t>
                  </w: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1、建设项目开发、使用功能发生变化的。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宁波莱堡制冷设备有限公司年产10万台电机生产线技改项目</w:t>
                  </w:r>
                  <w:r>
                    <w:rPr>
                      <w:rFonts w:hint="default" w:ascii="Times New Roman" w:hAnsi="Times New Roman" w:eastAsia="宋体" w:cs="Times New Roman"/>
                      <w:color w:val="auto"/>
                      <w:sz w:val="21"/>
                      <w:szCs w:val="21"/>
                      <w:lang w:val="en-US" w:eastAsia="zh-CN"/>
                    </w:rPr>
                    <w:t>，位于宁波市海曙区洞桥镇工业园区洞北路22号</w:t>
                  </w:r>
                  <w:r>
                    <w:rPr>
                      <w:rFonts w:hint="eastAsia" w:ascii="Times New Roman" w:hAnsi="Times New Roman" w:eastAsia="宋体" w:cs="Times New Roman"/>
                      <w:color w:val="auto"/>
                      <w:sz w:val="21"/>
                      <w:szCs w:val="21"/>
                      <w:lang w:val="en-US" w:eastAsia="zh-CN"/>
                    </w:rPr>
                    <w:t>，利用原有</w:t>
                  </w:r>
                  <w:r>
                    <w:rPr>
                      <w:rFonts w:hint="default" w:ascii="Times New Roman" w:hAnsi="Times New Roman" w:eastAsia="宋体" w:cs="Times New Roman"/>
                      <w:color w:val="auto"/>
                      <w:sz w:val="21"/>
                      <w:szCs w:val="21"/>
                      <w:lang w:val="en-US" w:eastAsia="zh-CN"/>
                    </w:rPr>
                    <w:t>厂房实施</w:t>
                  </w:r>
                  <w:r>
                    <w:rPr>
                      <w:rFonts w:hint="eastAsia" w:ascii="Times New Roman" w:hAnsi="Times New Roman" w:eastAsia="宋体" w:cs="Times New Roman"/>
                      <w:color w:val="auto"/>
                      <w:sz w:val="21"/>
                      <w:szCs w:val="21"/>
                      <w:lang w:val="en-US" w:eastAsia="zh-CN"/>
                    </w:rPr>
                    <w:t>技改项目</w:t>
                  </w:r>
                  <w:r>
                    <w:rPr>
                      <w:rFonts w:hint="default" w:ascii="Times New Roman" w:hAnsi="Times New Roman" w:eastAsia="宋体" w:cs="Times New Roman"/>
                      <w:color w:val="auto"/>
                      <w:sz w:val="21"/>
                      <w:szCs w:val="21"/>
                      <w:lang w:val="en-US" w:eastAsia="zh-CN"/>
                    </w:rPr>
                    <w:t>。该项目开发、使用功能与环评审批一致。</w:t>
                  </w:r>
                </w:p>
              </w:tc>
              <w:tc>
                <w:tcPr>
                  <w:tcW w:w="1148" w:type="dxa"/>
                  <w:noWrap w:val="0"/>
                  <w:vAlign w:val="center"/>
                </w:tcPr>
                <w:p>
                  <w:pPr>
                    <w:adjustRightInd/>
                    <w:snapToGrid/>
                    <w:spacing w:after="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restart"/>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规模</w:t>
                  </w: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2、生产、处置或储存能力增大30%及以上的。</w:t>
                  </w:r>
                </w:p>
              </w:tc>
              <w:tc>
                <w:tcPr>
                  <w:tcW w:w="3010" w:type="dxa"/>
                  <w:noWrap w:val="0"/>
                  <w:vAlign w:val="center"/>
                </w:tcPr>
                <w:p>
                  <w:pPr>
                    <w:adjustRightInd/>
                    <w:snapToGrid/>
                    <w:spacing w:after="0"/>
                    <w:jc w:val="both"/>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项目现有生产能力为</w:t>
                  </w:r>
                  <w:r>
                    <w:rPr>
                      <w:rFonts w:hint="eastAsia" w:ascii="Times New Roman" w:hAnsi="Times New Roman" w:eastAsia="宋体" w:cs="Times New Roman"/>
                      <w:color w:val="auto"/>
                      <w:sz w:val="21"/>
                      <w:szCs w:val="21"/>
                      <w:lang w:val="en-US" w:eastAsia="zh-CN"/>
                    </w:rPr>
                    <w:t>年产10万台电机</w:t>
                  </w:r>
                  <w:r>
                    <w:rPr>
                      <w:rFonts w:hint="eastAsia" w:ascii="Times New Roman" w:hAnsi="Times New Roman" w:eastAsia="宋体" w:cs="Times New Roman"/>
                      <w:color w:val="auto"/>
                      <w:sz w:val="21"/>
                      <w:szCs w:val="21"/>
                    </w:rPr>
                    <w:t>，较环评并未增大。</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3、生产、处置或储存能力增大，导致废水第一类污染物排放量增加的。</w:t>
                  </w:r>
                </w:p>
              </w:tc>
              <w:tc>
                <w:tcPr>
                  <w:tcW w:w="3010" w:type="dxa"/>
                  <w:noWrap w:val="0"/>
                  <w:vAlign w:val="center"/>
                </w:tcPr>
                <w:p>
                  <w:pPr>
                    <w:adjustRightInd/>
                    <w:snapToGrid/>
                    <w:spacing w:after="0"/>
                    <w:jc w:val="both"/>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企业</w:t>
                  </w:r>
                  <w:r>
                    <w:rPr>
                      <w:rFonts w:hint="eastAsia" w:ascii="Times New Roman" w:hAnsi="Times New Roman" w:eastAsia="宋体" w:cs="Times New Roman"/>
                      <w:color w:val="auto"/>
                      <w:sz w:val="21"/>
                      <w:szCs w:val="21"/>
                    </w:rPr>
                    <w:t>废水不涉及第一类污染物。</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项目位于宁波市海曙区洞桥镇工业园区洞北路22号，不属于环境质量不达标区的建设项目，项目生产、处置及储存能力与环评审批一致。</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地点</w:t>
                  </w: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5、重新选址；在原厂址附近调整（包括总平面布置变化）导致环境防护距离范围变化且新增敏感点的。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建设地点与环评设计阶段一致</w:t>
                  </w:r>
                  <w:r>
                    <w:rPr>
                      <w:rFonts w:hint="eastAsia" w:ascii="Times New Roman" w:hAnsi="Times New Roman" w:eastAsia="宋体" w:cs="Times New Roman"/>
                      <w:color w:val="auto"/>
                      <w:sz w:val="21"/>
                      <w:szCs w:val="21"/>
                      <w:lang w:val="en-US" w:eastAsia="zh-CN"/>
                    </w:rPr>
                    <w:t>，平面布置调整不会导致环境防护距离范围变化、且不新增敏感点</w:t>
                  </w:r>
                  <w:r>
                    <w:rPr>
                      <w:rFonts w:hint="default" w:ascii="Times New Roman" w:hAnsi="Times New Roman" w:eastAsia="宋体" w:cs="Times New Roman"/>
                      <w:color w:val="auto"/>
                      <w:sz w:val="21"/>
                      <w:szCs w:val="21"/>
                      <w:lang w:val="en-US" w:eastAsia="zh-CN"/>
                    </w:rPr>
                    <w:t>。</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restart"/>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生产工艺</w:t>
                  </w: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6、新增产品品种或生产工艺（含主要生产装置、设备及配套设施）、主要原辅材料、燃料变化，导致以下情形之一：</w:t>
                  </w:r>
                </w:p>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（1）新增排放污染物种类的（毒性、挥发性降低的除外）；</w:t>
                  </w:r>
                </w:p>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（2）位于环境质量不达标区的建设项目相应污染物排放量增加的；</w:t>
                  </w:r>
                </w:p>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（3）废水第一类污染物排放量增加的；</w:t>
                  </w:r>
                </w:p>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（4）其他污染物排放量增加10%及以上的。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本项目产品品种、生产工艺、原辅材料均在原环评审批范围内。</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7、物料运输、装卸、贮存方式变化，导致大气污染物无组织排放量增10%及以上的。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w:t>
                  </w:r>
                  <w:r>
                    <w:rPr>
                      <w:rFonts w:hint="default" w:ascii="Times New Roman" w:hAnsi="Times New Roman" w:eastAsia="宋体" w:cs="Times New Roman"/>
                      <w:color w:val="auto"/>
                      <w:sz w:val="21"/>
                      <w:szCs w:val="21"/>
                      <w:lang w:val="en-US" w:eastAsia="zh-CN"/>
                    </w:rPr>
                    <w:t>料运输、装卸、贮存方式与环评设计阶段一致，无变动。</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restart"/>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环境保护措施</w:t>
                  </w: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8、废气、废水污染防治措施变化，导致第6条中所列情形之一（废气无组织排放改为有组织排放、污染防治措施强化或改进的除外）或大气污染物无组织排放量增加10%及以上的。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lang w:eastAsia="zh-CN"/>
                    </w:rPr>
                    <w:t>环评设计阶段固化废气收集后直接接入喷塑粉尘废气排气筒一同排放，燃烧废气单独排放，实际建设喷塑粉尘单独排放，固化废气收集后不与喷塑粉尘废气混合，固化废气和燃烧废气混合通入一级活性炭吸附装置处理后高空排放；环评中喷塑粉尘处理方式为“滤网”处理，实际采用“旋风+滤芯除尘”处理；</w:t>
                  </w:r>
                </w:p>
                <w:p>
                  <w:pPr>
                    <w:adjustRightInd/>
                    <w:snapToGrid/>
                    <w:spacing w:after="0"/>
                    <w:jc w:val="both"/>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color w:val="auto"/>
                      <w:sz w:val="21"/>
                      <w:szCs w:val="21"/>
                      <w:highlight w:val="none"/>
                      <w:lang w:val="en-US" w:eastAsia="zh-CN"/>
                    </w:rPr>
                    <w:t>废水收集处理</w:t>
                  </w:r>
                  <w:r>
                    <w:rPr>
                      <w:rFonts w:hint="default" w:ascii="Times New Roman" w:hAnsi="Times New Roman" w:eastAsia="宋体" w:cs="Times New Roman"/>
                      <w:color w:val="auto"/>
                      <w:sz w:val="21"/>
                      <w:szCs w:val="21"/>
                      <w:lang w:val="en-US" w:eastAsia="zh-CN"/>
                    </w:rPr>
                    <w:t>与环评设计阶段一致</w:t>
                  </w:r>
                  <w:r>
                    <w:rPr>
                      <w:rFonts w:hint="eastAsia" w:ascii="Times New Roman" w:hAnsi="Times New Roman" w:eastAsia="宋体" w:cs="Times New Roman"/>
                      <w:color w:val="auto"/>
                      <w:sz w:val="21"/>
                      <w:szCs w:val="21"/>
                      <w:lang w:val="en-US" w:eastAsia="zh-CN"/>
                    </w:rPr>
                    <w:t>，现已完成纳管工作。</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9、新增废水直接排放口；废水由间接排放改为直接排放；废水直接排放口位置变化，导致不利环境影响加重的。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企业废水纳管排放属于间接排放，无直接排放口。</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10、新增废气主要排放口（废气无组织排放改为有组织排放的除外）；主要排放口排气筒高度降低10%及以上的。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未新增废气主要排放口</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11、噪声、土壤或地下水污染防治措施变化，导致不利环境影响加重的。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项目原料仓库、危废仓库、废水处理设施采取重点防渗处理，地下水、土壤防治措施符合环评要求，不会导致不利环境影响加重。</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废边角料和废包装材料等一般固体废物委托浙江裕欣环境科技有限责任公司接收处置；</w:t>
                  </w:r>
                  <w:r>
                    <w:rPr>
                      <w:rFonts w:hint="eastAsia" w:ascii="Times New Roman" w:hAnsi="Times New Roman" w:eastAsia="宋体" w:cs="Times New Roman"/>
                      <w:color w:val="auto"/>
                      <w:sz w:val="21"/>
                      <w:szCs w:val="21"/>
                      <w:lang w:val="en-US" w:eastAsia="zh-CN"/>
                    </w:rPr>
                    <w:t>槽渣、废槽液、污泥等危险废物</w:t>
                  </w:r>
                  <w:r>
                    <w:rPr>
                      <w:rFonts w:hint="default" w:ascii="Times New Roman" w:hAnsi="Times New Roman" w:eastAsia="宋体" w:cs="Times New Roman"/>
                      <w:color w:val="auto"/>
                      <w:sz w:val="21"/>
                      <w:szCs w:val="21"/>
                      <w:lang w:val="en-US" w:eastAsia="zh-CN"/>
                    </w:rPr>
                    <w:t>收集后委托</w:t>
                  </w:r>
                  <w:r>
                    <w:rPr>
                      <w:rFonts w:hint="eastAsia" w:ascii="Times New Roman" w:hAnsi="Times New Roman" w:eastAsia="宋体" w:cs="Times New Roman"/>
                      <w:color w:val="auto"/>
                      <w:sz w:val="21"/>
                      <w:szCs w:val="21"/>
                      <w:lang w:val="en-US" w:eastAsia="zh-CN"/>
                    </w:rPr>
                    <w:t>宁波甬润再生资源回收有限公司</w:t>
                  </w:r>
                  <w:r>
                    <w:rPr>
                      <w:rFonts w:hint="default" w:ascii="Times New Roman" w:hAnsi="Times New Roman" w:eastAsia="宋体" w:cs="Times New Roman"/>
                      <w:color w:val="auto"/>
                      <w:sz w:val="21"/>
                      <w:szCs w:val="21"/>
                      <w:lang w:val="en-US" w:eastAsia="zh-CN"/>
                    </w:rPr>
                    <w:t>处置；生活垃圾委托当地环卫部门统一清运。</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 w:type="dxa"/>
                  <w:vMerge w:val="continue"/>
                  <w:noWrap w:val="0"/>
                  <w:vAlign w:val="center"/>
                </w:tcPr>
                <w:p>
                  <w:pPr>
                    <w:adjustRightInd/>
                    <w:snapToGrid/>
                    <w:spacing w:after="0"/>
                    <w:jc w:val="center"/>
                    <w:rPr>
                      <w:rFonts w:hint="eastAsia" w:ascii="Times New Roman" w:hAnsi="Times New Roman" w:eastAsia="宋体" w:cs="Times New Roman"/>
                      <w:color w:val="auto"/>
                      <w:sz w:val="21"/>
                      <w:szCs w:val="21"/>
                      <w:lang w:val="en-US" w:eastAsia="zh-CN"/>
                    </w:rPr>
                  </w:pPr>
                </w:p>
              </w:tc>
              <w:tc>
                <w:tcPr>
                  <w:tcW w:w="3750" w:type="dxa"/>
                  <w:noWrap w:val="0"/>
                  <w:vAlign w:val="center"/>
                </w:tcPr>
                <w:p>
                  <w:pPr>
                    <w:adjustRightInd/>
                    <w:snapToGrid/>
                    <w:spacing w:after="0"/>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13、事故废水暂存能力或拦截设施变化，导致环境风险防范能力弱化或降低的。</w:t>
                  </w:r>
                </w:p>
              </w:tc>
              <w:tc>
                <w:tcPr>
                  <w:tcW w:w="3010" w:type="dxa"/>
                  <w:noWrap w:val="0"/>
                  <w:vAlign w:val="center"/>
                </w:tcPr>
                <w:p>
                  <w:pPr>
                    <w:adjustRightInd/>
                    <w:snapToGrid/>
                    <w:spacing w:after="0"/>
                    <w:jc w:val="both"/>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企业已按环</w:t>
                  </w:r>
                  <w:r>
                    <w:rPr>
                      <w:rFonts w:hint="default" w:ascii="Times New Roman" w:hAnsi="Times New Roman" w:eastAsia="宋体" w:cs="Times New Roman"/>
                      <w:color w:val="auto"/>
                      <w:sz w:val="21"/>
                      <w:szCs w:val="21"/>
                      <w:highlight w:val="none"/>
                      <w:lang w:val="en-US" w:eastAsia="zh-CN"/>
                    </w:rPr>
                    <w:t>评要求设置了容积</w:t>
                  </w:r>
                  <w:r>
                    <w:rPr>
                      <w:rFonts w:hint="eastAsia" w:ascii="Times New Roman" w:hAnsi="Times New Roman" w:eastAsia="宋体" w:cs="Times New Roman"/>
                      <w:color w:val="auto"/>
                      <w:sz w:val="21"/>
                      <w:szCs w:val="21"/>
                      <w:highlight w:val="none"/>
                      <w:lang w:val="en-US" w:eastAsia="zh-CN"/>
                    </w:rPr>
                    <w:t>46.2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的事故应急池，且设置好相应的截污管网和阀门，</w:t>
                  </w:r>
                  <w:r>
                    <w:rPr>
                      <w:rFonts w:hint="eastAsia" w:ascii="Times New Roman" w:hAnsi="Times New Roman" w:eastAsia="宋体" w:cs="Times New Roman"/>
                      <w:color w:val="auto"/>
                      <w:sz w:val="21"/>
                      <w:szCs w:val="21"/>
                      <w:highlight w:val="none"/>
                      <w:lang w:val="en-US" w:eastAsia="zh-CN"/>
                    </w:rPr>
                    <w:t>满足环评中总容量不低于22.5m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的要求</w:t>
                  </w:r>
                </w:p>
              </w:tc>
              <w:tc>
                <w:tcPr>
                  <w:tcW w:w="1148" w:type="dxa"/>
                  <w:noWrap w:val="0"/>
                  <w:vAlign w:val="center"/>
                </w:tcPr>
                <w:p>
                  <w:pPr>
                    <w:adjustRightInd/>
                    <w:snapToGrid/>
                    <w:spacing w:after="0"/>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否</w:t>
                  </w:r>
                </w:p>
              </w:tc>
            </w:tr>
          </w:tbl>
          <w:p>
            <w:pPr>
              <w:adjustRightInd/>
              <w:snapToGrid/>
              <w:spacing w:after="0" w:line="336" w:lineRule="auto"/>
              <w:ind w:firstLine="480" w:firstLineChars="200"/>
              <w:jc w:val="both"/>
              <w:rPr>
                <w:rFonts w:hint="eastAsia" w:ascii="Times New Roman" w:hAnsi="Times New Roman" w:eastAsia="宋体"/>
                <w:color w:val="auto"/>
                <w:sz w:val="24"/>
              </w:rPr>
            </w:pPr>
            <w:r>
              <w:rPr>
                <w:rFonts w:hint="eastAsia" w:ascii="Times New Roman" w:hAnsi="Times New Roman" w:eastAsia="宋体"/>
                <w:color w:val="auto"/>
                <w:sz w:val="24"/>
              </w:rPr>
              <w:t>综上所述</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adjustRightInd/>
              <w:snapToGrid/>
              <w:spacing w:after="0" w:line="336"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olor w:val="auto"/>
                <w:sz w:val="24"/>
              </w:rPr>
              <w:t>根据</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表2-</w:t>
            </w:r>
            <w:r>
              <w:rPr>
                <w:rFonts w:hint="eastAsia" w:ascii="Times New Roman" w:hAnsi="Times New Roman" w:eastAsia="宋体"/>
                <w:color w:val="auto"/>
                <w:sz w:val="24"/>
                <w:lang w:val="en-US" w:eastAsia="zh-CN"/>
              </w:rPr>
              <w:t>10</w:t>
            </w:r>
            <w:r>
              <w:rPr>
                <w:rFonts w:hint="eastAsia" w:ascii="Times New Roman" w:hAnsi="Times New Roman" w:eastAsia="宋体"/>
                <w:color w:val="auto"/>
                <w:sz w:val="24"/>
              </w:rPr>
              <w:t>项目重大变更情况分析表</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，本项目虽发生变化，但均不属于重大变化，可直接进行竣工环境保护验收</w:t>
            </w:r>
            <w:r>
              <w:rPr>
                <w:rFonts w:hint="eastAsia" w:ascii="Times New Roman" w:hAnsi="Times New Roman" w:eastAsia="宋体"/>
                <w:color w:val="auto"/>
                <w:sz w:val="24"/>
                <w:lang w:eastAsia="zh-CN"/>
              </w:rPr>
              <w:t>。</w:t>
            </w:r>
          </w:p>
          <w:p>
            <w:pPr>
              <w:adjustRightInd/>
              <w:snapToGrid/>
              <w:spacing w:after="0" w:line="336" w:lineRule="auto"/>
              <w:ind w:firstLine="480" w:firstLineChars="200"/>
              <w:jc w:val="both"/>
              <w:rPr>
                <w:rFonts w:ascii="Times New Roman" w:hAnsi="Times New Roman" w:eastAsia="宋体" w:cs="Times New Roman"/>
                <w:color w:val="auto"/>
                <w:sz w:val="24"/>
              </w:rPr>
            </w:pPr>
          </w:p>
          <w:p>
            <w:pPr>
              <w:pStyle w:val="6"/>
              <w:adjustRightInd/>
              <w:snapToGrid/>
              <w:spacing w:after="0"/>
              <w:rPr>
                <w:rFonts w:hint="default" w:ascii="Times New Roman" w:hAnsi="Times New Roman"/>
                <w:color w:val="auto"/>
              </w:rPr>
            </w:pPr>
          </w:p>
        </w:tc>
      </w:tr>
    </w:tbl>
    <w:p>
      <w:pPr>
        <w:adjustRightInd/>
        <w:snapToGrid/>
        <w:spacing w:after="0" w:line="360" w:lineRule="auto"/>
        <w:rPr>
          <w:rFonts w:ascii="Times New Roman" w:hAnsi="Times New Roman" w:eastAsia="宋体"/>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13" w:name="_Toc1989"/>
      <w:bookmarkStart w:id="14" w:name="_Toc9682"/>
      <w:r>
        <w:rPr>
          <w:rFonts w:ascii="Times New Roman" w:hAnsi="Times New Roman" w:eastAsia="宋体"/>
          <w:color w:val="auto"/>
        </w:rPr>
        <w:t>表三</w:t>
      </w:r>
      <w:bookmarkEnd w:id="13"/>
      <w:r>
        <w:rPr>
          <w:rFonts w:ascii="Times New Roman" w:hAnsi="Times New Roman" w:eastAsia="宋体"/>
          <w:color w:val="auto"/>
        </w:rPr>
        <w:t>主要污染物排放</w:t>
      </w:r>
      <w:bookmarkEnd w:id="14"/>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16" w:hRule="atLeast"/>
          <w:jc w:val="center"/>
        </w:trPr>
        <w:tc>
          <w:tcPr>
            <w:tcW w:w="5000" w:type="pct"/>
            <w:noWrap w:val="0"/>
            <w:vAlign w:val="top"/>
          </w:tcPr>
          <w:p>
            <w:pPr>
              <w:keepNext w:val="0"/>
              <w:keepLines w:val="0"/>
              <w:pageBreakBefore w:val="0"/>
              <w:widowControl w:val="0"/>
              <w:kinsoku/>
              <w:wordWrap/>
              <w:overflowPunct/>
              <w:topLinePunct w:val="0"/>
              <w:bidi w:val="0"/>
              <w:adjustRightInd/>
              <w:snapToGrid/>
              <w:spacing w:after="0" w:line="324" w:lineRule="auto"/>
              <w:ind w:firstLine="482" w:firstLineChars="200"/>
              <w:jc w:val="both"/>
              <w:textAlignment w:val="auto"/>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3.1废气</w:t>
            </w:r>
          </w:p>
          <w:p>
            <w:pPr>
              <w:keepNext w:val="0"/>
              <w:keepLines w:val="0"/>
              <w:pageBreakBefore w:val="0"/>
              <w:widowControl w:val="0"/>
              <w:kinsoku/>
              <w:wordWrap/>
              <w:overflowPunct/>
              <w:topLinePunct w:val="0"/>
              <w:bidi w:val="0"/>
              <w:adjustRightInd/>
              <w:snapToGrid/>
              <w:spacing w:after="0" w:line="324" w:lineRule="auto"/>
              <w:ind w:firstLine="482" w:firstLineChars="200"/>
              <w:jc w:val="both"/>
              <w:textAlignment w:val="auto"/>
              <w:rPr>
                <w:rFonts w:hint="eastAsia"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环评要求：</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rPr>
              <w:t>气枪吹尘废气：根据工艺可知，使用气枪吹尘的工件表面较干净，因此气枪吹尘工序产生的吹尘废气较少，通过加强车间通风等措施后</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无组织排放；</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酸雾废气：在新增酸洗槽的废气产生点侧方设置集气罩进行收集酸雾废气，收集后进入二级碱液喷淋塔进行处理达标后通过一根15m高排气筒（DA001）排放。</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eastAsia"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喷塑粉尘：喷塑过程为风机抽风状态，喷房内为负压，粉尘经风机收集和滤网捕集后通过一根15m高排气筒（DA002）排放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固化废气：固化烘道产生的固化废气接入喷塑粉尘排气筒（DA002）高空排放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浸漆及晾干废气：浸漆废气和晾干废气经集气罩收集后接入</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二级活性炭吸附</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装置处理，最后通过车间外一根15m高的排气筒（DA003）高空排放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燃烧废气：</w:t>
            </w:r>
            <w:r>
              <w:rPr>
                <w:rFonts w:hint="default" w:ascii="Times New Roman" w:hAnsi="Times New Roman" w:eastAsia="宋体" w:cs="Times New Roman"/>
                <w:color w:val="auto"/>
                <w:kern w:val="2"/>
                <w:sz w:val="24"/>
                <w:szCs w:val="24"/>
                <w:lang w:val="en-US" w:eastAsia="zh-CN"/>
              </w:rPr>
              <w:t>天然气燃烧废气经排气筒（DA004）单独引出后高空排放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jc w:val="both"/>
              <w:textAlignment w:val="auto"/>
              <w:rPr>
                <w:rFonts w:hint="default" w:ascii="Times New Roman" w:hAnsi="Times New Roman" w:eastAsia="宋体" w:cs="Times New Roman"/>
                <w:color w:val="auto"/>
                <w:kern w:val="2"/>
                <w:sz w:val="24"/>
                <w:szCs w:val="24"/>
                <w:lang w:val="en-US" w:eastAsia="zh-CN"/>
              </w:rPr>
            </w:pPr>
            <w:r>
              <w:drawing>
                <wp:inline distT="0" distB="0" distL="114300" distR="114300">
                  <wp:extent cx="5525770" cy="4624705"/>
                  <wp:effectExtent l="0" t="0" r="17780" b="444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525770" cy="4624705"/>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图3-1 环评设计阶段废气治理工艺图</w:t>
            </w:r>
          </w:p>
          <w:p>
            <w:pPr>
              <w:keepNext w:val="0"/>
              <w:keepLines w:val="0"/>
              <w:pageBreakBefore w:val="0"/>
              <w:widowControl w:val="0"/>
              <w:kinsoku/>
              <w:wordWrap/>
              <w:overflowPunct/>
              <w:topLinePunct w:val="0"/>
              <w:bidi w:val="0"/>
              <w:adjustRightInd/>
              <w:snapToGrid/>
              <w:spacing w:after="0" w:line="324" w:lineRule="auto"/>
              <w:ind w:firstLine="482" w:firstLineChars="200"/>
              <w:jc w:val="both"/>
              <w:textAlignment w:val="auto"/>
              <w:rPr>
                <w:rFonts w:hint="eastAsia"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实际落实情况：</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rPr>
              <w:t>气枪吹尘废气：根据工艺可知，使用气枪吹尘的工件表面较干净，因此气枪吹尘工序产生的吹尘废气较少，通过加强车间通风等措施后</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无组织排放；</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酸雾废气：在新增酸洗槽的废气产生点侧方设置集气罩进行收集酸雾废气，收集后进入二级碱液喷淋塔进行处理达标后通过一根15m高排气筒（DA001）排放。</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eastAsia"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喷塑粉尘：喷塑过程为风机抽风状态，喷房内为负压，粉尘经风机收集和</w:t>
            </w:r>
            <w:r>
              <w:rPr>
                <w:rFonts w:hint="eastAsia" w:ascii="Times New Roman" w:hAnsi="Times New Roman" w:eastAsia="宋体" w:cs="Times New Roman"/>
                <w:color w:val="auto"/>
                <w:kern w:val="2"/>
                <w:sz w:val="24"/>
                <w:szCs w:val="24"/>
                <w:lang w:val="en-US" w:eastAsia="zh-CN"/>
              </w:rPr>
              <w:t>旋风+滤芯除尘</w:t>
            </w:r>
            <w:r>
              <w:rPr>
                <w:rFonts w:hint="default" w:ascii="Times New Roman" w:hAnsi="Times New Roman" w:eastAsia="宋体" w:cs="Times New Roman"/>
                <w:color w:val="auto"/>
                <w:kern w:val="2"/>
                <w:sz w:val="24"/>
                <w:szCs w:val="24"/>
                <w:lang w:val="en-US" w:eastAsia="zh-CN"/>
              </w:rPr>
              <w:t>后通过一根15m高排气筒（DA002）排放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浸漆及晾干废气：浸漆废气和晾干废气经集气罩收集后接入</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二级活性炭吸附</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装置处理，最后通过车间外一根15m高的排气筒（DA003）高空排放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ind w:firstLine="480" w:firstLineChars="200"/>
              <w:jc w:val="both"/>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固化废气</w:t>
            </w:r>
            <w:r>
              <w:rPr>
                <w:rFonts w:hint="eastAsia" w:ascii="Times New Roman" w:hAnsi="Times New Roman" w:eastAsia="宋体" w:cs="Times New Roman"/>
                <w:color w:val="auto"/>
                <w:kern w:val="2"/>
                <w:sz w:val="24"/>
                <w:szCs w:val="24"/>
                <w:lang w:val="en-US" w:eastAsia="zh-CN"/>
              </w:rPr>
              <w:t>与燃烧废气</w:t>
            </w:r>
            <w:r>
              <w:rPr>
                <w:rFonts w:hint="default" w:ascii="Times New Roman" w:hAnsi="Times New Roman" w:eastAsia="宋体" w:cs="Times New Roman"/>
                <w:color w:val="auto"/>
                <w:kern w:val="2"/>
                <w:sz w:val="24"/>
                <w:szCs w:val="24"/>
                <w:lang w:val="en-US" w:eastAsia="zh-CN"/>
              </w:rPr>
              <w:t>：固化烘道产生的固化废气</w:t>
            </w:r>
            <w:r>
              <w:rPr>
                <w:rFonts w:hint="eastAsia" w:ascii="Times New Roman" w:hAnsi="Times New Roman" w:eastAsia="宋体" w:cs="Times New Roman"/>
                <w:color w:val="auto"/>
                <w:kern w:val="2"/>
                <w:sz w:val="24"/>
                <w:szCs w:val="24"/>
                <w:lang w:val="en-US" w:eastAsia="zh-CN"/>
              </w:rPr>
              <w:t>与天然气燃烧废气混合后</w:t>
            </w:r>
            <w:r>
              <w:rPr>
                <w:rFonts w:hint="default" w:ascii="Times New Roman" w:hAnsi="Times New Roman" w:eastAsia="宋体" w:cs="Times New Roman"/>
                <w:color w:val="auto"/>
                <w:kern w:val="2"/>
                <w:sz w:val="24"/>
                <w:szCs w:val="24"/>
                <w:lang w:val="en-US" w:eastAsia="zh-CN"/>
              </w:rPr>
              <w:t>接入</w:t>
            </w:r>
            <w:r>
              <w:rPr>
                <w:rFonts w:hint="eastAsia" w:ascii="Times New Roman" w:hAnsi="Times New Roman" w:eastAsia="宋体" w:cs="Times New Roman"/>
                <w:color w:val="auto"/>
                <w:kern w:val="2"/>
                <w:sz w:val="24"/>
                <w:szCs w:val="24"/>
                <w:lang w:val="en-US" w:eastAsia="zh-CN"/>
              </w:rPr>
              <w:t>“一级</w:t>
            </w:r>
            <w:r>
              <w:rPr>
                <w:rFonts w:hint="default" w:ascii="Times New Roman" w:hAnsi="Times New Roman" w:eastAsia="宋体" w:cs="Times New Roman"/>
                <w:color w:val="auto"/>
                <w:kern w:val="2"/>
                <w:sz w:val="24"/>
                <w:szCs w:val="24"/>
                <w:lang w:val="en-US" w:eastAsia="zh-CN"/>
              </w:rPr>
              <w:t>活性炭吸附</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装置处理，最后通过车间外一根15m高的排气筒（DA00</w:t>
            </w:r>
            <w:r>
              <w:rPr>
                <w:rFonts w:hint="eastAsia"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lang w:val="en-US" w:eastAsia="zh-CN"/>
              </w:rPr>
              <w:t>）高空排放</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bidi w:val="0"/>
              <w:adjustRightInd/>
              <w:snapToGrid/>
              <w:spacing w:after="0" w:line="324" w:lineRule="auto"/>
              <w:jc w:val="both"/>
              <w:textAlignment w:val="auto"/>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drawing>
                <wp:inline distT="0" distB="0" distL="114300" distR="114300">
                  <wp:extent cx="5760085" cy="4187825"/>
                  <wp:effectExtent l="0" t="0" r="12065" b="3175"/>
                  <wp:docPr id="9" name="图片 11" descr="废气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废气工艺流程图"/>
                          <pic:cNvPicPr>
                            <a:picLocks noChangeAspect="1"/>
                          </pic:cNvPicPr>
                        </pic:nvPicPr>
                        <pic:blipFill>
                          <a:blip r:embed="rId20"/>
                          <a:stretch>
                            <a:fillRect/>
                          </a:stretch>
                        </pic:blipFill>
                        <pic:spPr>
                          <a:xfrm>
                            <a:off x="0" y="0"/>
                            <a:ext cx="5760085" cy="4187825"/>
                          </a:xfrm>
                          <a:prstGeom prst="rect">
                            <a:avLst/>
                          </a:prstGeom>
                          <a:noFill/>
                          <a:ln>
                            <a:noFill/>
                          </a:ln>
                        </pic:spPr>
                      </pic:pic>
                    </a:graphicData>
                  </a:graphic>
                </wp:inline>
              </w:drawing>
            </w:r>
          </w:p>
          <w:p>
            <w:pPr>
              <w:widowControl w:val="0"/>
              <w:adjustRightInd/>
              <w:snapToGrid/>
              <w:spacing w:after="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图3-2 实际建设废气治理工艺图</w:t>
            </w:r>
          </w:p>
          <w:p>
            <w:pPr>
              <w:keepNext w:val="0"/>
              <w:keepLines w:val="0"/>
              <w:pageBreakBefore w:val="0"/>
              <w:widowControl w:val="0"/>
              <w:kinsoku/>
              <w:wordWrap/>
              <w:overflowPunct/>
              <w:topLinePunct w:val="0"/>
              <w:bidi w:val="0"/>
              <w:adjustRightInd/>
              <w:snapToGrid/>
              <w:spacing w:after="0" w:line="324" w:lineRule="auto"/>
              <w:ind w:firstLine="482" w:firstLineChars="200"/>
              <w:jc w:val="both"/>
              <w:textAlignment w:val="auto"/>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3.2废水</w:t>
            </w:r>
          </w:p>
          <w:p>
            <w:pPr>
              <w:pStyle w:val="17"/>
              <w:keepNext w:val="0"/>
              <w:keepLines w:val="0"/>
              <w:pageBreakBefore w:val="0"/>
              <w:widowControl w:val="0"/>
              <w:kinsoku/>
              <w:wordWrap/>
              <w:overflowPunct/>
              <w:topLinePunct w:val="0"/>
              <w:bidi w:val="0"/>
              <w:adjustRightInd/>
              <w:snapToGrid/>
              <w:spacing w:line="324" w:lineRule="auto"/>
              <w:ind w:firstLine="482" w:firstLineChars="200"/>
              <w:jc w:val="both"/>
              <w:textAlignment w:val="auto"/>
              <w:rPr>
                <w:rFonts w:hint="eastAsia"/>
                <w:b/>
                <w:bCs/>
                <w:color w:val="auto"/>
                <w:kern w:val="2"/>
              </w:rPr>
            </w:pPr>
            <w:r>
              <w:rPr>
                <w:rFonts w:hint="eastAsia"/>
                <w:b/>
                <w:bCs/>
                <w:color w:val="auto"/>
                <w:kern w:val="2"/>
              </w:rPr>
              <w:t>环评要求：</w:t>
            </w:r>
          </w:p>
          <w:p>
            <w:pPr>
              <w:pStyle w:val="17"/>
              <w:keepNext w:val="0"/>
              <w:keepLines w:val="0"/>
              <w:pageBreakBefore w:val="0"/>
              <w:widowControl w:val="0"/>
              <w:kinsoku/>
              <w:wordWrap/>
              <w:overflowPunct/>
              <w:topLinePunct w:val="0"/>
              <w:bidi w:val="0"/>
              <w:adjustRightInd/>
              <w:snapToGrid/>
              <w:spacing w:line="324" w:lineRule="auto"/>
              <w:ind w:firstLine="480" w:firstLineChars="200"/>
              <w:jc w:val="both"/>
              <w:textAlignment w:val="auto"/>
              <w:rPr>
                <w:rFonts w:hint="eastAsia"/>
                <w:color w:val="000000"/>
                <w:kern w:val="2"/>
              </w:rPr>
            </w:pPr>
            <w:r>
              <w:rPr>
                <w:rFonts w:hint="eastAsia"/>
                <w:color w:val="000000"/>
                <w:kern w:val="2"/>
              </w:rPr>
              <w:t>项目所在区域现状污水管网尚未建成，技改项目新增的硅烷化表面处理废水以及酸洗磷化表面处理废水在厂区纳管前不得运行；待污水管网铺设完成后，新增生产废水通过本厂区内废水处理站处理达标后一部分水回用作为碱液喷淋用水使用，其余废水排入市政污水管网。</w:t>
            </w:r>
          </w:p>
          <w:p>
            <w:pPr>
              <w:pStyle w:val="17"/>
              <w:keepNext w:val="0"/>
              <w:keepLines w:val="0"/>
              <w:pageBreakBefore w:val="0"/>
              <w:widowControl w:val="0"/>
              <w:kinsoku/>
              <w:wordWrap/>
              <w:overflowPunct/>
              <w:topLinePunct w:val="0"/>
              <w:bidi w:val="0"/>
              <w:adjustRightInd/>
              <w:snapToGrid/>
              <w:spacing w:line="324" w:lineRule="auto"/>
              <w:ind w:firstLine="480" w:firstLineChars="200"/>
              <w:jc w:val="both"/>
              <w:textAlignment w:val="auto"/>
              <w:rPr>
                <w:rFonts w:hint="eastAsia"/>
                <w:color w:val="auto"/>
                <w:kern w:val="2"/>
              </w:rPr>
            </w:pPr>
            <w:r>
              <w:rPr>
                <w:rFonts w:hint="eastAsia"/>
                <w:color w:val="auto"/>
                <w:kern w:val="2"/>
              </w:rPr>
              <w:t>技改项目生产废水处理流程如下：</w:t>
            </w:r>
          </w:p>
          <w:p>
            <w:pPr>
              <w:pStyle w:val="17"/>
              <w:keepNext w:val="0"/>
              <w:keepLines w:val="0"/>
              <w:pageBreakBefore w:val="0"/>
              <w:widowControl w:val="0"/>
              <w:kinsoku/>
              <w:wordWrap/>
              <w:overflowPunct/>
              <w:topLinePunct w:val="0"/>
              <w:bidi w:val="0"/>
              <w:adjustRightInd/>
              <w:snapToGrid/>
              <w:spacing w:line="324" w:lineRule="auto"/>
              <w:jc w:val="both"/>
              <w:textAlignment w:val="auto"/>
              <w:rPr>
                <w:rFonts w:hint="eastAsia"/>
                <w:color w:val="auto"/>
                <w:kern w:val="2"/>
              </w:rPr>
            </w:pPr>
            <w:r>
              <w:drawing>
                <wp:inline distT="0" distB="0" distL="114300" distR="114300">
                  <wp:extent cx="5526405" cy="1421765"/>
                  <wp:effectExtent l="0" t="0" r="17145" b="698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1"/>
                          <a:stretch>
                            <a:fillRect/>
                          </a:stretch>
                        </pic:blipFill>
                        <pic:spPr>
                          <a:xfrm>
                            <a:off x="0" y="0"/>
                            <a:ext cx="5526405" cy="1421765"/>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图3-4 环评设计阶段废水治理工艺图</w:t>
            </w:r>
          </w:p>
          <w:p>
            <w:pPr>
              <w:pStyle w:val="17"/>
              <w:keepNext w:val="0"/>
              <w:keepLines w:val="0"/>
              <w:pageBreakBefore w:val="0"/>
              <w:widowControl w:val="0"/>
              <w:kinsoku/>
              <w:wordWrap/>
              <w:overflowPunct/>
              <w:topLinePunct w:val="0"/>
              <w:bidi w:val="0"/>
              <w:adjustRightInd/>
              <w:snapToGrid/>
              <w:spacing w:line="324" w:lineRule="auto"/>
              <w:ind w:firstLine="482" w:firstLineChars="200"/>
              <w:jc w:val="both"/>
              <w:textAlignment w:val="auto"/>
              <w:rPr>
                <w:rFonts w:hint="eastAsia"/>
                <w:b/>
                <w:bCs/>
                <w:color w:val="auto"/>
                <w:kern w:val="2"/>
              </w:rPr>
            </w:pPr>
            <w:r>
              <w:rPr>
                <w:rFonts w:hint="eastAsia"/>
                <w:b/>
                <w:bCs/>
                <w:color w:val="auto"/>
                <w:kern w:val="2"/>
              </w:rPr>
              <w:t>实际落实情况：</w:t>
            </w:r>
          </w:p>
          <w:p>
            <w:pPr>
              <w:pStyle w:val="17"/>
              <w:keepNext w:val="0"/>
              <w:keepLines w:val="0"/>
              <w:pageBreakBefore w:val="0"/>
              <w:widowControl w:val="0"/>
              <w:kinsoku/>
              <w:wordWrap/>
              <w:overflowPunct/>
              <w:topLinePunct w:val="0"/>
              <w:bidi w:val="0"/>
              <w:adjustRightInd/>
              <w:snapToGrid/>
              <w:spacing w:line="324" w:lineRule="auto"/>
              <w:ind w:firstLine="480" w:firstLineChars="200"/>
              <w:jc w:val="both"/>
              <w:textAlignment w:val="auto"/>
              <w:rPr>
                <w:rFonts w:hint="eastAsia"/>
                <w:color w:val="000000"/>
                <w:kern w:val="2"/>
              </w:rPr>
            </w:pPr>
            <w:r>
              <w:rPr>
                <w:rFonts w:hint="eastAsia"/>
                <w:color w:val="000000"/>
                <w:kern w:val="2"/>
              </w:rPr>
              <w:t>项目所在区域现状污水管网</w:t>
            </w:r>
            <w:r>
              <w:rPr>
                <w:rFonts w:hint="eastAsia"/>
                <w:color w:val="000000"/>
                <w:kern w:val="2"/>
                <w:lang w:val="en-US" w:eastAsia="zh-CN"/>
              </w:rPr>
              <w:t>已建设完成，企业已完成管网纳管工作，并取得排水许可证。</w:t>
            </w:r>
            <w:r>
              <w:rPr>
                <w:rFonts w:hint="eastAsia"/>
                <w:color w:val="000000"/>
                <w:kern w:val="2"/>
              </w:rPr>
              <w:t>生产废水通过本厂区内废水处理站处理达标后一部分水回用作为碱液喷淋用水使用，其余废水排入市政污水管网。</w:t>
            </w:r>
          </w:p>
          <w:p>
            <w:pPr>
              <w:pStyle w:val="17"/>
              <w:keepNext w:val="0"/>
              <w:keepLines w:val="0"/>
              <w:pageBreakBefore w:val="0"/>
              <w:widowControl w:val="0"/>
              <w:kinsoku/>
              <w:wordWrap/>
              <w:overflowPunct/>
              <w:topLinePunct w:val="0"/>
              <w:bidi w:val="0"/>
              <w:adjustRightInd/>
              <w:snapToGrid/>
              <w:spacing w:line="324" w:lineRule="auto"/>
              <w:ind w:firstLine="480" w:firstLineChars="200"/>
              <w:jc w:val="both"/>
              <w:textAlignment w:val="auto"/>
              <w:rPr>
                <w:rFonts w:hint="eastAsia"/>
                <w:color w:val="auto"/>
                <w:kern w:val="2"/>
              </w:rPr>
            </w:pPr>
            <w:r>
              <w:rPr>
                <w:rFonts w:hint="eastAsia"/>
                <w:color w:val="auto"/>
                <w:kern w:val="2"/>
              </w:rPr>
              <w:t>技改项目生产废水处理流程如下：</w:t>
            </w:r>
          </w:p>
          <w:p>
            <w:pPr>
              <w:pStyle w:val="17"/>
              <w:keepNext w:val="0"/>
              <w:keepLines w:val="0"/>
              <w:pageBreakBefore w:val="0"/>
              <w:widowControl w:val="0"/>
              <w:kinsoku/>
              <w:wordWrap/>
              <w:overflowPunct/>
              <w:topLinePunct w:val="0"/>
              <w:bidi w:val="0"/>
              <w:adjustRightInd/>
              <w:snapToGrid/>
              <w:spacing w:line="324" w:lineRule="auto"/>
              <w:jc w:val="both"/>
              <w:textAlignment w:val="auto"/>
              <w:rPr>
                <w:rFonts w:hint="eastAsia"/>
                <w:color w:val="auto"/>
                <w:kern w:val="2"/>
              </w:rPr>
            </w:pPr>
            <w:r>
              <w:drawing>
                <wp:inline distT="0" distB="0" distL="114300" distR="114300">
                  <wp:extent cx="5526405" cy="1421765"/>
                  <wp:effectExtent l="0" t="0" r="17145"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21"/>
                          <a:stretch>
                            <a:fillRect/>
                          </a:stretch>
                        </pic:blipFill>
                        <pic:spPr>
                          <a:xfrm>
                            <a:off x="0" y="0"/>
                            <a:ext cx="5526405" cy="1421765"/>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图3-5 实际建设废水治理工艺图</w:t>
            </w:r>
          </w:p>
          <w:p>
            <w:pPr>
              <w:widowControl w:val="0"/>
              <w:adjustRightInd/>
              <w:snapToGrid/>
              <w:spacing w:after="0" w:line="336" w:lineRule="auto"/>
              <w:ind w:firstLine="482" w:firstLineChars="200"/>
              <w:jc w:val="both"/>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3.3噪声</w:t>
            </w:r>
          </w:p>
          <w:p>
            <w:pPr>
              <w:widowControl w:val="0"/>
              <w:adjustRightInd/>
              <w:snapToGrid/>
              <w:spacing w:after="0" w:line="336" w:lineRule="auto"/>
              <w:ind w:firstLine="482" w:firstLineChars="200"/>
              <w:jc w:val="both"/>
              <w:rPr>
                <w:rFonts w:hint="eastAsia" w:ascii="Times New Roman" w:hAnsi="Times New Roman" w:eastAsia="宋体"/>
                <w:color w:val="auto"/>
                <w:kern w:val="2"/>
                <w:sz w:val="24"/>
                <w:szCs w:val="24"/>
              </w:rPr>
            </w:pPr>
            <w:r>
              <w:rPr>
                <w:rFonts w:hint="eastAsia" w:ascii="Times New Roman" w:hAnsi="Times New Roman" w:eastAsia="宋体"/>
                <w:b/>
                <w:bCs/>
                <w:color w:val="auto"/>
                <w:kern w:val="2"/>
                <w:sz w:val="24"/>
                <w:szCs w:val="24"/>
              </w:rPr>
              <w:t>环评要求：</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总平面布置：从总平面布置的角度出发，为减少噪声对周边环境的影响，本项目将高噪声设备设置于各车间内中间位置，尽量远离厂界，车间采用实墙。另外在设计中考虑在绿化设计等方面采取有效措施，在场界周围设绿化带，以阻隔噪声的传播和干扰。四周建设高挡墙，利用挡墙的作用，使噪声受到不同程度的隔绝和吸收，做到尽可能屏蔽声源，减少对环境的影响。同时在总体布置上利用建筑物、构筑物来阻隔声波的传播。</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设备减震降噪措施：设置台基减震、橡胶减震接头及减震垫等减震设施，以此降低设备的运行噪声。在生产运转时定期对设备进行检查，保证设备正常运转。</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加强管理：建立设备定期维护，保养的管理制度，以防止设备故障形成的非正常生产噪声，同时确保环保措施发挥最佳有效的功能；加强职工环保意识教育，提倡文明生产，防止人为噪声；强化行车管理制度，设置降噪标准，严禁鸣笛，进入厂区低速行驶，最大限度减少流动噪声源。</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生产时间安排：合理安排生产时间，运输车辆进出时间尽量控制在既定的工作时间内，尽量减小噪声对周围环境的影响。</w:t>
            </w:r>
          </w:p>
          <w:p>
            <w:pPr>
              <w:widowControl w:val="0"/>
              <w:adjustRightInd/>
              <w:snapToGrid/>
              <w:spacing w:after="0" w:line="336" w:lineRule="auto"/>
              <w:ind w:firstLine="482" w:firstLineChars="200"/>
              <w:jc w:val="both"/>
              <w:rPr>
                <w:rFonts w:hint="eastAsia" w:ascii="Times New Roman" w:hAnsi="Times New Roman" w:eastAsia="宋体"/>
                <w:b/>
                <w:bCs/>
                <w:color w:val="auto"/>
                <w:kern w:val="2"/>
                <w:sz w:val="24"/>
                <w:szCs w:val="24"/>
              </w:rPr>
            </w:pPr>
            <w:r>
              <w:rPr>
                <w:rFonts w:hint="eastAsia" w:ascii="Times New Roman" w:hAnsi="Times New Roman" w:eastAsia="宋体"/>
                <w:b/>
                <w:bCs/>
                <w:color w:val="auto"/>
                <w:kern w:val="2"/>
                <w:sz w:val="24"/>
                <w:szCs w:val="24"/>
              </w:rPr>
              <w:t>实际落实情况：</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总平面布置：从总平面布置的角度出发，为减少噪声对周边环境的影响，本项目将高噪声设备设置于各车间内中间位置，尽量远离厂界，车间采用实墙。另外在设计中考虑在绿化设计等方面采取有效措施，在场界周围设绿化带，以阻隔噪声的传播和干扰。四周建设高挡墙，利用挡墙的作用，使噪声受到不同程度的隔绝和吸收，做到尽可能屏蔽声源，减少对环境的影响。同时在总体布置上利用建筑物、构筑物来阻隔声波的传播。</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设备减震降噪措施：设置台基减震、橡胶减震接头及减震垫等减震设施，以此降低设备的运行噪声。在生产运转时定期对设备进行检查，保证设备正常运转。</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加强管理：建立设备定期维护，保养的管理制度，以防止设备故障形成的非正常生产噪声，同时确保环保措施发挥最佳有效的功能；加强职工环保意识教育，提倡文明生产，防止人为噪声；强化行车管理制度，设置降噪标准，严禁鸣笛，进入厂区低速行驶，最大限度减少流动噪声源。</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生产时间安排：合理安排生产时间，运输车辆进出时间尽量控制在既定的工作时间内，尽量减小噪声对周围环境的影响。</w:t>
            </w:r>
          </w:p>
          <w:p>
            <w:pPr>
              <w:widowControl w:val="0"/>
              <w:adjustRightInd/>
              <w:snapToGrid/>
              <w:spacing w:after="0" w:line="360" w:lineRule="auto"/>
              <w:ind w:firstLine="482" w:firstLineChars="200"/>
              <w:jc w:val="both"/>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3.4固废</w:t>
            </w: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olor w:val="auto"/>
                <w:kern w:val="2"/>
                <w:sz w:val="24"/>
                <w:szCs w:val="24"/>
              </w:rPr>
              <w:t>项目验收期间，固体废物类型主要包含生活垃圾、一般工业固体废物、危险废物。一般工业固体废物为</w:t>
            </w:r>
            <w:r>
              <w:rPr>
                <w:rFonts w:hint="eastAsia" w:ascii="Times New Roman" w:hAnsi="Times New Roman" w:eastAsia="宋体"/>
                <w:color w:val="auto"/>
                <w:kern w:val="2"/>
                <w:sz w:val="24"/>
                <w:szCs w:val="24"/>
              </w:rPr>
              <w:t>金属屑及边料</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rPr>
              <w:t>废塑粉</w:t>
            </w:r>
            <w:r>
              <w:rPr>
                <w:rFonts w:hint="eastAsia" w:ascii="Times New Roman" w:hAnsi="Times New Roman" w:eastAsia="宋体"/>
                <w:color w:val="auto"/>
                <w:kern w:val="2"/>
                <w:sz w:val="24"/>
                <w:szCs w:val="24"/>
                <w:lang w:eastAsia="zh-CN"/>
              </w:rPr>
              <w:t>、水性漆渣、废</w:t>
            </w:r>
            <w:r>
              <w:rPr>
                <w:rFonts w:hint="eastAsia" w:ascii="Times New Roman" w:hAnsi="Times New Roman" w:eastAsia="宋体"/>
                <w:color w:val="auto"/>
                <w:kern w:val="2"/>
                <w:sz w:val="24"/>
                <w:szCs w:val="24"/>
                <w:lang w:val="en-US" w:eastAsia="zh-CN"/>
              </w:rPr>
              <w:t>水性</w:t>
            </w:r>
            <w:r>
              <w:rPr>
                <w:rFonts w:hint="eastAsia" w:ascii="Times New Roman" w:hAnsi="Times New Roman" w:eastAsia="宋体"/>
                <w:color w:val="auto"/>
                <w:kern w:val="2"/>
                <w:sz w:val="24"/>
                <w:szCs w:val="24"/>
                <w:lang w:eastAsia="zh-CN"/>
              </w:rPr>
              <w:t>油漆桶</w:t>
            </w:r>
            <w:r>
              <w:rPr>
                <w:rFonts w:hint="eastAsia" w:ascii="Times New Roman" w:hAnsi="Times New Roman" w:eastAsia="宋体"/>
                <w:color w:val="auto"/>
                <w:kern w:val="2"/>
                <w:sz w:val="24"/>
                <w:szCs w:val="24"/>
                <w:lang w:val="en-US" w:eastAsia="zh-CN"/>
              </w:rPr>
              <w:t>和一般性包装材料</w:t>
            </w:r>
            <w:r>
              <w:rPr>
                <w:rFonts w:ascii="Times New Roman" w:hAnsi="Times New Roman" w:eastAsia="宋体"/>
                <w:color w:val="auto"/>
                <w:kern w:val="2"/>
                <w:sz w:val="24"/>
                <w:szCs w:val="24"/>
              </w:rPr>
              <w:t>；危险废物为</w:t>
            </w:r>
            <w:r>
              <w:rPr>
                <w:rFonts w:hint="eastAsia" w:ascii="Times New Roman" w:hAnsi="Times New Roman" w:eastAsia="宋体" w:cs="Times New Roman"/>
                <w:color w:val="auto"/>
                <w:kern w:val="2"/>
                <w:sz w:val="24"/>
                <w:szCs w:val="24"/>
              </w:rPr>
              <w:t>槽渣</w:t>
            </w:r>
            <w:r>
              <w:rPr>
                <w:rFonts w:hint="eastAsia" w:ascii="Times New Roman" w:hAnsi="Times New Roman" w:eastAsia="宋体" w:cs="Times New Roman"/>
                <w:color w:val="auto"/>
                <w:kern w:val="2"/>
                <w:sz w:val="24"/>
                <w:szCs w:val="24"/>
                <w:lang w:eastAsia="zh-CN"/>
              </w:rPr>
              <w:t>、废槽液、</w:t>
            </w:r>
            <w:r>
              <w:rPr>
                <w:rFonts w:hint="default" w:ascii="Times New Roman" w:hAnsi="Times New Roman" w:eastAsia="宋体" w:cs="Times New Roman"/>
                <w:color w:val="auto"/>
                <w:kern w:val="2"/>
                <w:sz w:val="24"/>
                <w:szCs w:val="24"/>
              </w:rPr>
              <w:t>污泥</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废活性炭</w:t>
            </w:r>
            <w:r>
              <w:rPr>
                <w:rFonts w:hint="eastAsia" w:ascii="Times New Roman" w:hAnsi="Times New Roman" w:eastAsia="宋体" w:cs="Times New Roman"/>
                <w:color w:val="auto"/>
                <w:kern w:val="2"/>
                <w:sz w:val="24"/>
                <w:szCs w:val="24"/>
                <w:lang w:val="en-US" w:eastAsia="zh-CN"/>
              </w:rPr>
              <w:t>和</w:t>
            </w:r>
            <w:r>
              <w:rPr>
                <w:rFonts w:hint="default" w:ascii="Times New Roman" w:hAnsi="Times New Roman" w:eastAsia="宋体" w:cs="Times New Roman"/>
                <w:color w:val="auto"/>
                <w:kern w:val="2"/>
                <w:sz w:val="24"/>
                <w:szCs w:val="24"/>
              </w:rPr>
              <w:t>废原料桶</w:t>
            </w:r>
            <w:r>
              <w:rPr>
                <w:rFonts w:ascii="Times New Roman" w:hAnsi="Times New Roman" w:eastAsia="宋体" w:cs="Times New Roman"/>
                <w:color w:val="auto"/>
                <w:kern w:val="2"/>
                <w:sz w:val="24"/>
                <w:szCs w:val="24"/>
              </w:rPr>
              <w:t>。</w:t>
            </w:r>
          </w:p>
          <w:p>
            <w:pPr>
              <w:widowControl w:val="0"/>
              <w:adjustRightInd/>
              <w:snapToGrid/>
              <w:spacing w:after="0" w:line="336" w:lineRule="auto"/>
              <w:ind w:firstLine="482" w:firstLineChars="200"/>
              <w:jc w:val="both"/>
              <w:rPr>
                <w:rFonts w:ascii="Times New Roman" w:hAnsi="Times New Roman" w:eastAsia="宋体"/>
                <w:color w:val="auto"/>
                <w:kern w:val="2"/>
                <w:sz w:val="24"/>
                <w:szCs w:val="24"/>
              </w:rPr>
            </w:pPr>
            <w:r>
              <w:rPr>
                <w:rFonts w:ascii="Times New Roman" w:hAnsi="Times New Roman" w:eastAsia="宋体"/>
                <w:b/>
                <w:bCs/>
                <w:color w:val="auto"/>
                <w:kern w:val="2"/>
                <w:sz w:val="24"/>
                <w:szCs w:val="24"/>
              </w:rPr>
              <w:t>环评要求：</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一般工业固体废物：</w:t>
            </w:r>
            <w:r>
              <w:rPr>
                <w:rFonts w:hint="eastAsia" w:ascii="Times New Roman" w:hAnsi="Times New Roman" w:eastAsia="宋体"/>
                <w:color w:val="auto"/>
                <w:kern w:val="2"/>
                <w:sz w:val="24"/>
                <w:szCs w:val="24"/>
              </w:rPr>
              <w:t>一般工业固废贮存应满足防渗漏、防雨淋、防扬尘等环境保护要求，贮存场所需设置一般工业固废识别标志，做好一般工业固废台账记录，建立环境管理制度。</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危险废物：</w:t>
            </w:r>
            <w:r>
              <w:rPr>
                <w:rFonts w:hint="eastAsia" w:ascii="Times New Roman" w:hAnsi="Times New Roman" w:eastAsia="宋体"/>
                <w:color w:val="auto"/>
                <w:kern w:val="2"/>
                <w:sz w:val="24"/>
                <w:szCs w:val="24"/>
              </w:rPr>
              <w:t>建设单位在厂房中部设置单独的危险废物暂存间（建筑面积约50m</w:t>
            </w:r>
            <w:r>
              <w:rPr>
                <w:rFonts w:hint="eastAsia" w:ascii="Times New Roman" w:hAnsi="Times New Roman" w:eastAsia="宋体"/>
                <w:color w:val="auto"/>
                <w:kern w:val="2"/>
                <w:sz w:val="24"/>
                <w:szCs w:val="24"/>
                <w:vertAlign w:val="superscript"/>
              </w:rPr>
              <w:t>2</w:t>
            </w:r>
            <w:r>
              <w:rPr>
                <w:rFonts w:hint="eastAsia" w:ascii="Times New Roman" w:hAnsi="Times New Roman" w:eastAsia="宋体"/>
                <w:color w:val="auto"/>
                <w:kern w:val="2"/>
                <w:sz w:val="24"/>
                <w:szCs w:val="24"/>
              </w:rPr>
              <w:t>），危废暂存场所按照《危险废物贮存污染控制标准》（GB18597-2001）及修改单的要求设置，贮存场所做到防渗漏，防雨淋，防流失，防止二次污染，地面硬化防腐防渗处理，地面四周设置废水导排渠道，门口设置警示标志。同时必须做好危险废物的申报登记，建立台帐管理制度，记录上须注明危险废物的名称、来源、数量、特征和包装容器的类别、入库时间、存放库位、废物出库日期及接受单位名称。危险废物转运的时候必须申报危险废物转移计划，并执行危废转移联单制度。</w:t>
            </w:r>
          </w:p>
          <w:p>
            <w:pPr>
              <w:widowControl w:val="0"/>
              <w:adjustRightInd/>
              <w:snapToGrid/>
              <w:spacing w:after="0" w:line="336" w:lineRule="auto"/>
              <w:ind w:firstLine="482" w:firstLineChars="200"/>
              <w:jc w:val="both"/>
              <w:rPr>
                <w:rFonts w:hint="eastAsia" w:ascii="Times New Roman" w:hAnsi="Times New Roman"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实际落实情况：</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企业在北侧规范设置一般工业固废暂存间，面积约20m</w:t>
            </w:r>
            <w:r>
              <w:rPr>
                <w:rFonts w:hint="eastAsia" w:ascii="Times New Roman" w:hAnsi="Times New Roman" w:eastAsia="宋体" w:cs="Times New Roman"/>
                <w:color w:val="auto"/>
                <w:kern w:val="2"/>
                <w:sz w:val="24"/>
                <w:szCs w:val="24"/>
                <w:vertAlign w:val="superscript"/>
                <w:lang w:val="en-US" w:eastAsia="zh-CN"/>
              </w:rPr>
              <w:t>2</w:t>
            </w:r>
            <w:r>
              <w:rPr>
                <w:rFonts w:hint="eastAsia" w:ascii="Times New Roman" w:hAnsi="Times New Roman" w:eastAsia="宋体" w:cs="Times New Roman"/>
                <w:color w:val="auto"/>
                <w:kern w:val="2"/>
                <w:sz w:val="24"/>
                <w:szCs w:val="24"/>
                <w:lang w:val="en-US" w:eastAsia="zh-CN"/>
              </w:rPr>
              <w:t>；</w:t>
            </w:r>
          </w:p>
          <w:p>
            <w:pPr>
              <w:widowControl w:val="0"/>
              <w:adjustRightInd/>
              <w:snapToGrid/>
              <w:spacing w:after="0" w:line="336" w:lineRule="auto"/>
              <w:ind w:firstLine="480" w:firstLineChars="200"/>
              <w:jc w:val="both"/>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企业在</w:t>
            </w:r>
            <w:r>
              <w:rPr>
                <w:rFonts w:hint="eastAsia" w:ascii="Times New Roman" w:hAnsi="Times New Roman" w:eastAsia="宋体" w:cs="Times New Roman"/>
                <w:color w:val="auto"/>
                <w:kern w:val="2"/>
                <w:sz w:val="24"/>
                <w:szCs w:val="24"/>
              </w:rPr>
              <w:t>厂</w:t>
            </w:r>
            <w:r>
              <w:rPr>
                <w:rFonts w:hint="eastAsia" w:ascii="Times New Roman" w:hAnsi="Times New Roman" w:eastAsia="宋体" w:cs="Times New Roman"/>
                <w:color w:val="auto"/>
                <w:kern w:val="2"/>
                <w:sz w:val="24"/>
                <w:szCs w:val="24"/>
                <w:lang w:val="en-US" w:eastAsia="zh-CN"/>
              </w:rPr>
              <w:t>区北</w:t>
            </w:r>
            <w:r>
              <w:rPr>
                <w:rFonts w:hint="eastAsia" w:ascii="Times New Roman" w:hAnsi="Times New Roman" w:eastAsia="宋体" w:cs="Times New Roman"/>
                <w:color w:val="auto"/>
                <w:kern w:val="2"/>
                <w:sz w:val="24"/>
                <w:szCs w:val="24"/>
              </w:rPr>
              <w:t>侧</w:t>
            </w:r>
            <w:r>
              <w:rPr>
                <w:rFonts w:hint="eastAsia" w:ascii="Times New Roman" w:hAnsi="Times New Roman" w:eastAsia="宋体" w:cs="Times New Roman"/>
                <w:color w:val="auto"/>
                <w:kern w:val="2"/>
                <w:sz w:val="24"/>
                <w:szCs w:val="24"/>
                <w:lang w:val="en-US" w:eastAsia="zh-CN"/>
              </w:rPr>
              <w:t>工业固废暂存间旁新建了一座</w:t>
            </w:r>
            <w:r>
              <w:rPr>
                <w:rFonts w:hint="eastAsia" w:ascii="Times New Roman" w:hAnsi="Times New Roman" w:eastAsia="宋体" w:cs="Times New Roman"/>
                <w:color w:val="auto"/>
                <w:kern w:val="2"/>
                <w:sz w:val="24"/>
                <w:szCs w:val="24"/>
              </w:rPr>
              <w:t>面积约</w:t>
            </w:r>
            <w:r>
              <w:rPr>
                <w:rFonts w:hint="eastAsia" w:ascii="Times New Roman" w:hAnsi="Times New Roman" w:eastAsia="宋体" w:cs="Times New Roman"/>
                <w:color w:val="auto"/>
                <w:kern w:val="2"/>
                <w:sz w:val="24"/>
                <w:szCs w:val="24"/>
                <w:lang w:val="en-US" w:eastAsia="zh-CN"/>
              </w:rPr>
              <w:t>25</w:t>
            </w:r>
            <w:r>
              <w:rPr>
                <w:rFonts w:hint="eastAsia" w:ascii="Times New Roman" w:hAnsi="Times New Roman" w:eastAsia="宋体" w:cs="Times New Roman"/>
                <w:color w:val="auto"/>
                <w:kern w:val="2"/>
                <w:sz w:val="24"/>
                <w:szCs w:val="24"/>
              </w:rPr>
              <w:t>m</w:t>
            </w:r>
            <w:r>
              <w:rPr>
                <w:rFonts w:hint="eastAsia" w:ascii="Times New Roman" w:hAnsi="Times New Roman" w:eastAsia="宋体" w:cs="Times New Roman"/>
                <w:color w:val="auto"/>
                <w:kern w:val="2"/>
                <w:sz w:val="24"/>
                <w:szCs w:val="24"/>
                <w:vertAlign w:val="superscript"/>
              </w:rPr>
              <w:t>2</w:t>
            </w:r>
            <w:r>
              <w:rPr>
                <w:rFonts w:hint="eastAsia" w:ascii="Times New Roman" w:hAnsi="Times New Roman" w:eastAsia="宋体" w:cs="Times New Roman"/>
                <w:color w:val="auto"/>
                <w:kern w:val="2"/>
                <w:sz w:val="24"/>
                <w:szCs w:val="24"/>
                <w:vertAlign w:val="baseline"/>
                <w:lang w:val="en-US" w:eastAsia="zh-CN"/>
              </w:rPr>
              <w:t>的</w:t>
            </w:r>
            <w:r>
              <w:rPr>
                <w:rFonts w:hint="eastAsia" w:ascii="Times New Roman" w:hAnsi="Times New Roman" w:eastAsia="宋体" w:cs="Times New Roman"/>
                <w:color w:val="auto"/>
                <w:kern w:val="2"/>
                <w:sz w:val="24"/>
                <w:szCs w:val="24"/>
              </w:rPr>
              <w:t>危废暂存间，危废仓库采取了必要的防风、防晒、防雨、防漏、防渗、防腐以及其他环境污染防治措施，已张贴危险废物标识标牌，危废周知卡管理制度已上墙，并指定专人担任危废管理岗位，危废废物分类存放，包装袋外张贴有危废标签，记录了危险废物的来源、属性、产生日期及产生重量，严格落实危废台账记录及危废转移联单制度。</w:t>
            </w:r>
          </w:p>
          <w:p>
            <w:pPr>
              <w:widowControl w:val="0"/>
              <w:adjustRightInd/>
              <w:snapToGrid/>
              <w:spacing w:after="0"/>
              <w:ind w:firstLine="422" w:firstLineChars="20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表3-2项目固体废物处置措施情况汇总表单位：t/a</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71"/>
              <w:gridCol w:w="1327"/>
              <w:gridCol w:w="2830"/>
              <w:gridCol w:w="893"/>
              <w:gridCol w:w="552"/>
              <w:gridCol w:w="1231"/>
              <w:gridCol w:w="960"/>
              <w:gridCol w:w="838"/>
              <w:gridCol w:w="11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71" w:type="dxa"/>
                  <w:noWrap w:val="0"/>
                  <w:vAlign w:val="center"/>
                </w:tcPr>
                <w:p>
                  <w:pPr>
                    <w:pStyle w:val="1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序号</w:t>
                  </w:r>
                </w:p>
              </w:tc>
              <w:tc>
                <w:tcPr>
                  <w:tcW w:w="1327" w:type="dxa"/>
                  <w:noWrap w:val="0"/>
                  <w:vAlign w:val="center"/>
                </w:tcPr>
                <w:p>
                  <w:pPr>
                    <w:pStyle w:val="1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名称</w:t>
                  </w:r>
                </w:p>
              </w:tc>
              <w:tc>
                <w:tcPr>
                  <w:tcW w:w="1341" w:type="dxa"/>
                  <w:noWrap w:val="0"/>
                  <w:vAlign w:val="center"/>
                </w:tcPr>
                <w:p>
                  <w:pPr>
                    <w:pStyle w:val="1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产生工序</w:t>
                  </w:r>
                </w:p>
              </w:tc>
              <w:tc>
                <w:tcPr>
                  <w:tcW w:w="893" w:type="dxa"/>
                  <w:noWrap w:val="0"/>
                  <w:vAlign w:val="center"/>
                </w:tcPr>
                <w:p>
                  <w:pPr>
                    <w:pStyle w:val="1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形态</w:t>
                  </w:r>
                </w:p>
              </w:tc>
              <w:tc>
                <w:tcPr>
                  <w:tcW w:w="552" w:type="dxa"/>
                  <w:noWrap w:val="0"/>
                  <w:vAlign w:val="center"/>
                </w:tcPr>
                <w:p>
                  <w:pPr>
                    <w:pStyle w:val="1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属性</w:t>
                  </w:r>
                </w:p>
              </w:tc>
              <w:tc>
                <w:tcPr>
                  <w:tcW w:w="1231"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代码</w:t>
                  </w:r>
                </w:p>
              </w:tc>
              <w:tc>
                <w:tcPr>
                  <w:tcW w:w="960"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环评设计产生量</w:t>
                  </w:r>
                </w:p>
              </w:tc>
              <w:tc>
                <w:tcPr>
                  <w:tcW w:w="838"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实际产生量</w:t>
                  </w:r>
                </w:p>
              </w:tc>
              <w:tc>
                <w:tcPr>
                  <w:tcW w:w="1185"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处理方式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71" w:type="dxa"/>
                  <w:noWrap w:val="0"/>
                  <w:vAlign w:val="center"/>
                </w:tcPr>
                <w:p>
                  <w:pPr>
                    <w:pStyle w:val="18"/>
                    <w:rPr>
                      <w:color w:val="auto"/>
                      <w:sz w:val="21"/>
                      <w:szCs w:val="21"/>
                    </w:rPr>
                  </w:pPr>
                  <w:r>
                    <w:rPr>
                      <w:color w:val="auto"/>
                      <w:kern w:val="2"/>
                      <w:sz w:val="21"/>
                      <w:szCs w:val="21"/>
                    </w:rPr>
                    <w:t>1</w:t>
                  </w:r>
                </w:p>
              </w:tc>
              <w:tc>
                <w:tcPr>
                  <w:tcW w:w="1327"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槽渣</w:t>
                  </w:r>
                </w:p>
              </w:tc>
              <w:tc>
                <w:tcPr>
                  <w:tcW w:w="1341"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酸洗磷化</w:t>
                  </w:r>
                </w:p>
              </w:tc>
              <w:tc>
                <w:tcPr>
                  <w:tcW w:w="893" w:type="dxa"/>
                  <w:noWrap w:val="0"/>
                  <w:vAlign w:val="center"/>
                </w:tcPr>
                <w:p>
                  <w:pPr>
                    <w:adjustRightInd/>
                    <w:snapToGrid/>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固</w:t>
                  </w:r>
                </w:p>
              </w:tc>
              <w:tc>
                <w:tcPr>
                  <w:tcW w:w="552" w:type="dxa"/>
                  <w:vMerge w:val="restart"/>
                  <w:noWrap w:val="0"/>
                  <w:vAlign w:val="center"/>
                </w:tcPr>
                <w:p>
                  <w:pPr>
                    <w:pStyle w:val="18"/>
                    <w:rPr>
                      <w:rFonts w:hint="eastAsia"/>
                      <w:color w:val="auto"/>
                      <w:kern w:val="2"/>
                      <w:sz w:val="21"/>
                      <w:szCs w:val="21"/>
                    </w:rPr>
                  </w:pPr>
                  <w:r>
                    <w:rPr>
                      <w:color w:val="auto"/>
                      <w:kern w:val="2"/>
                      <w:sz w:val="21"/>
                      <w:szCs w:val="21"/>
                    </w:rPr>
                    <w:t>危险固废</w:t>
                  </w:r>
                </w:p>
              </w:tc>
              <w:tc>
                <w:tcPr>
                  <w:tcW w:w="1231"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HW17</w:t>
                  </w:r>
                </w:p>
                <w:p>
                  <w:pPr>
                    <w:adjustRightInd/>
                    <w:snapToGrid/>
                    <w:spacing w:after="0"/>
                    <w:jc w:val="center"/>
                    <w:rPr>
                      <w:rFonts w:ascii="Times New Roman" w:hAnsi="Times New Roman" w:eastAsia="宋体"/>
                      <w:bCs/>
                      <w:color w:val="auto"/>
                      <w:sz w:val="21"/>
                      <w:szCs w:val="21"/>
                    </w:rPr>
                  </w:pPr>
                  <w:r>
                    <w:rPr>
                      <w:rFonts w:ascii="Times New Roman"/>
                      <w:color w:val="auto"/>
                      <w:sz w:val="21"/>
                      <w:szCs w:val="21"/>
                    </w:rPr>
                    <w:t>336-064-17</w:t>
                  </w:r>
                </w:p>
              </w:tc>
              <w:tc>
                <w:tcPr>
                  <w:tcW w:w="960" w:type="dxa"/>
                  <w:noWrap w:val="0"/>
                  <w:vAlign w:val="center"/>
                </w:tcPr>
                <w:p>
                  <w:pPr>
                    <w:adjustRightInd/>
                    <w:snapToGrid/>
                    <w:spacing w:after="0"/>
                    <w:jc w:val="center"/>
                    <w:rPr>
                      <w:rFonts w:ascii="Times New Roman" w:hAnsi="Times New Roman" w:eastAsia="宋体"/>
                      <w:color w:val="auto"/>
                      <w:sz w:val="21"/>
                      <w:szCs w:val="21"/>
                    </w:rPr>
                  </w:pPr>
                  <w:r>
                    <w:rPr>
                      <w:rFonts w:ascii="Times New Roman"/>
                      <w:color w:val="auto"/>
                      <w:sz w:val="21"/>
                      <w:szCs w:val="21"/>
                    </w:rPr>
                    <w:t>0.5</w:t>
                  </w:r>
                </w:p>
              </w:tc>
              <w:tc>
                <w:tcPr>
                  <w:tcW w:w="838" w:type="dxa"/>
                  <w:noWrap w:val="0"/>
                  <w:vAlign w:val="center"/>
                </w:tcPr>
                <w:p>
                  <w:pPr>
                    <w:adjustRightInd/>
                    <w:snapToGrid/>
                    <w:spacing w:after="0"/>
                    <w:jc w:val="center"/>
                    <w:rPr>
                      <w:rFonts w:ascii="Times New Roman" w:hAnsi="Times New Roman" w:eastAsia="宋体"/>
                      <w:color w:val="auto"/>
                      <w:sz w:val="21"/>
                      <w:szCs w:val="21"/>
                      <w:lang w:val="en-US" w:eastAsia="zh-CN" w:bidi="ar-SA"/>
                    </w:rPr>
                  </w:pPr>
                  <w:r>
                    <w:rPr>
                      <w:rFonts w:ascii="Times New Roman"/>
                      <w:color w:val="auto"/>
                      <w:sz w:val="21"/>
                      <w:szCs w:val="21"/>
                    </w:rPr>
                    <w:t>0.5</w:t>
                  </w:r>
                </w:p>
              </w:tc>
              <w:tc>
                <w:tcPr>
                  <w:tcW w:w="1185" w:type="dxa"/>
                  <w:vMerge w:val="restart"/>
                  <w:noWrap w:val="0"/>
                  <w:vAlign w:val="center"/>
                </w:tcPr>
                <w:p>
                  <w:pPr>
                    <w:adjustRightInd/>
                    <w:snapToGrid/>
                    <w:spacing w:after="0"/>
                    <w:jc w:val="center"/>
                    <w:rPr>
                      <w:rFonts w:hint="eastAsia" w:ascii="Times New Roman" w:hAnsi="Times New Roman" w:eastAsia="宋体"/>
                      <w:color w:val="auto"/>
                      <w:sz w:val="21"/>
                      <w:szCs w:val="21"/>
                      <w:lang w:val="en-US" w:eastAsia="zh-CN"/>
                    </w:rPr>
                  </w:pPr>
                  <w:r>
                    <w:rPr>
                      <w:rFonts w:hint="default" w:ascii="宋体" w:hAnsi="宋体" w:eastAsia="宋体" w:cs="宋体"/>
                      <w:color w:val="auto"/>
                      <w:sz w:val="21"/>
                      <w:szCs w:val="21"/>
                    </w:rPr>
                    <w:t>委托</w:t>
                  </w:r>
                  <w:r>
                    <w:rPr>
                      <w:rFonts w:hint="eastAsia" w:ascii="Times New Roman" w:hAnsi="Times New Roman" w:eastAsia="宋体"/>
                      <w:color w:val="auto"/>
                      <w:sz w:val="21"/>
                      <w:szCs w:val="21"/>
                    </w:rPr>
                    <w:t>宁波甬润再生资源回收有限公司</w:t>
                  </w:r>
                  <w:r>
                    <w:rPr>
                      <w:rFonts w:hint="eastAsia" w:ascii="Times New Roman" w:hAnsi="Times New Roman" w:eastAsia="宋体"/>
                      <w:color w:val="auto"/>
                      <w:sz w:val="21"/>
                      <w:szCs w:val="21"/>
                      <w:lang w:val="en-US" w:eastAsia="zh-CN"/>
                    </w:rPr>
                    <w:t>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71" w:type="dxa"/>
                  <w:noWrap w:val="0"/>
                  <w:vAlign w:val="center"/>
                </w:tcPr>
                <w:p>
                  <w:pPr>
                    <w:pStyle w:val="18"/>
                    <w:rPr>
                      <w:color w:val="auto"/>
                      <w:sz w:val="21"/>
                      <w:szCs w:val="21"/>
                    </w:rPr>
                  </w:pPr>
                  <w:r>
                    <w:rPr>
                      <w:color w:val="auto"/>
                      <w:kern w:val="2"/>
                      <w:sz w:val="21"/>
                      <w:szCs w:val="21"/>
                    </w:rPr>
                    <w:t>2</w:t>
                  </w:r>
                </w:p>
              </w:tc>
              <w:tc>
                <w:tcPr>
                  <w:tcW w:w="1327"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废槽液</w:t>
                  </w:r>
                </w:p>
              </w:tc>
              <w:tc>
                <w:tcPr>
                  <w:tcW w:w="1341"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酸洗磷化</w:t>
                  </w:r>
                </w:p>
              </w:tc>
              <w:tc>
                <w:tcPr>
                  <w:tcW w:w="893"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bCs/>
                      <w:color w:val="auto"/>
                      <w:sz w:val="21"/>
                      <w:szCs w:val="21"/>
                    </w:rPr>
                    <w:t>液</w:t>
                  </w:r>
                </w:p>
              </w:tc>
              <w:tc>
                <w:tcPr>
                  <w:tcW w:w="552" w:type="dxa"/>
                  <w:vMerge w:val="continue"/>
                  <w:noWrap w:val="0"/>
                  <w:vAlign w:val="center"/>
                </w:tcPr>
                <w:p>
                  <w:pPr>
                    <w:pStyle w:val="18"/>
                    <w:rPr>
                      <w:color w:val="auto"/>
                      <w:kern w:val="2"/>
                      <w:sz w:val="21"/>
                      <w:szCs w:val="21"/>
                    </w:rPr>
                  </w:pPr>
                </w:p>
              </w:tc>
              <w:tc>
                <w:tcPr>
                  <w:tcW w:w="1231"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HW17</w:t>
                  </w:r>
                </w:p>
                <w:p>
                  <w:pPr>
                    <w:adjustRightInd/>
                    <w:snapToGrid/>
                    <w:spacing w:after="0"/>
                    <w:jc w:val="center"/>
                    <w:rPr>
                      <w:rFonts w:ascii="Times New Roman" w:hAnsi="Times New Roman" w:eastAsia="宋体"/>
                      <w:color w:val="auto"/>
                      <w:sz w:val="21"/>
                      <w:szCs w:val="21"/>
                    </w:rPr>
                  </w:pPr>
                  <w:r>
                    <w:rPr>
                      <w:rFonts w:ascii="Times New Roman"/>
                      <w:color w:val="auto"/>
                      <w:sz w:val="21"/>
                      <w:szCs w:val="21"/>
                    </w:rPr>
                    <w:t>336-064-17</w:t>
                  </w:r>
                </w:p>
              </w:tc>
              <w:tc>
                <w:tcPr>
                  <w:tcW w:w="960" w:type="dxa"/>
                  <w:noWrap w:val="0"/>
                  <w:vAlign w:val="center"/>
                </w:tcPr>
                <w:p>
                  <w:pPr>
                    <w:adjustRightInd/>
                    <w:snapToGrid/>
                    <w:spacing w:after="0"/>
                    <w:jc w:val="center"/>
                    <w:rPr>
                      <w:rFonts w:ascii="Times New Roman" w:hAnsi="Times New Roman" w:eastAsia="宋体"/>
                      <w:color w:val="auto"/>
                      <w:kern w:val="2"/>
                      <w:sz w:val="21"/>
                      <w:szCs w:val="21"/>
                    </w:rPr>
                  </w:pPr>
                  <w:r>
                    <w:rPr>
                      <w:rFonts w:hint="default" w:ascii="Times New Roman" w:hAnsi="Times New Roman" w:eastAsia="Times New Roman" w:cs="Times New Roman"/>
                      <w:color w:val="auto"/>
                      <w:sz w:val="21"/>
                      <w:szCs w:val="21"/>
                    </w:rPr>
                    <w:t>22</w:t>
                  </w:r>
                </w:p>
              </w:tc>
              <w:tc>
                <w:tcPr>
                  <w:tcW w:w="838" w:type="dxa"/>
                  <w:noWrap w:val="0"/>
                  <w:vAlign w:val="center"/>
                </w:tcPr>
                <w:p>
                  <w:pPr>
                    <w:adjustRightInd/>
                    <w:snapToGrid/>
                    <w:spacing w:after="0"/>
                    <w:jc w:val="center"/>
                    <w:rPr>
                      <w:rFonts w:ascii="Times New Roman" w:hAnsi="Times New Roman" w:eastAsia="宋体"/>
                      <w:color w:val="auto"/>
                      <w:kern w:val="2"/>
                      <w:sz w:val="21"/>
                      <w:szCs w:val="21"/>
                      <w:lang w:val="en-US" w:eastAsia="zh-CN" w:bidi="ar-SA"/>
                    </w:rPr>
                  </w:pPr>
                  <w:r>
                    <w:rPr>
                      <w:rFonts w:hint="default" w:ascii="Times New Roman" w:hAnsi="Times New Roman" w:eastAsia="Times New Roman" w:cs="Times New Roman"/>
                      <w:color w:val="auto"/>
                      <w:sz w:val="21"/>
                      <w:szCs w:val="21"/>
                    </w:rPr>
                    <w:t>22</w:t>
                  </w:r>
                </w:p>
              </w:tc>
              <w:tc>
                <w:tcPr>
                  <w:tcW w:w="1185" w:type="dxa"/>
                  <w:vMerge w:val="continue"/>
                  <w:noWrap w:val="0"/>
                  <w:vAlign w:val="center"/>
                </w:tcPr>
                <w:p>
                  <w:pPr>
                    <w:adjustRightInd/>
                    <w:snapToGrid/>
                    <w:spacing w:after="0"/>
                    <w:jc w:val="center"/>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71" w:type="dxa"/>
                  <w:noWrap w:val="0"/>
                  <w:vAlign w:val="center"/>
                </w:tcPr>
                <w:p>
                  <w:pPr>
                    <w:pStyle w:val="18"/>
                    <w:rPr>
                      <w:rFonts w:hint="eastAsia" w:eastAsia="宋体"/>
                      <w:color w:val="auto"/>
                      <w:sz w:val="21"/>
                      <w:szCs w:val="21"/>
                      <w:lang w:eastAsia="zh-CN"/>
                    </w:rPr>
                  </w:pPr>
                  <w:r>
                    <w:rPr>
                      <w:rFonts w:hint="eastAsia"/>
                      <w:color w:val="auto"/>
                      <w:kern w:val="2"/>
                      <w:sz w:val="21"/>
                      <w:szCs w:val="21"/>
                      <w:lang w:val="en-US" w:eastAsia="zh-CN"/>
                    </w:rPr>
                    <w:t>3</w:t>
                  </w:r>
                </w:p>
              </w:tc>
              <w:tc>
                <w:tcPr>
                  <w:tcW w:w="1327"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废槽液</w:t>
                  </w:r>
                </w:p>
              </w:tc>
              <w:tc>
                <w:tcPr>
                  <w:tcW w:w="1341"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硅烷化</w:t>
                  </w:r>
                </w:p>
              </w:tc>
              <w:tc>
                <w:tcPr>
                  <w:tcW w:w="893"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bCs/>
                      <w:color w:val="auto"/>
                      <w:sz w:val="21"/>
                      <w:szCs w:val="21"/>
                    </w:rPr>
                    <w:t>液</w:t>
                  </w:r>
                </w:p>
              </w:tc>
              <w:tc>
                <w:tcPr>
                  <w:tcW w:w="552" w:type="dxa"/>
                  <w:vMerge w:val="continue"/>
                  <w:noWrap w:val="0"/>
                  <w:vAlign w:val="center"/>
                </w:tcPr>
                <w:p>
                  <w:pPr>
                    <w:pStyle w:val="18"/>
                    <w:rPr>
                      <w:color w:val="auto"/>
                      <w:kern w:val="2"/>
                      <w:sz w:val="21"/>
                      <w:szCs w:val="21"/>
                    </w:rPr>
                  </w:pPr>
                </w:p>
              </w:tc>
              <w:tc>
                <w:tcPr>
                  <w:tcW w:w="1231"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HW17</w:t>
                  </w:r>
                </w:p>
                <w:p>
                  <w:pPr>
                    <w:adjustRightInd/>
                    <w:snapToGrid/>
                    <w:spacing w:after="0"/>
                    <w:jc w:val="center"/>
                    <w:rPr>
                      <w:rFonts w:ascii="Times New Roman" w:hAnsi="Times New Roman" w:eastAsia="宋体"/>
                      <w:color w:val="auto"/>
                      <w:sz w:val="21"/>
                      <w:szCs w:val="21"/>
                    </w:rPr>
                  </w:pPr>
                  <w:r>
                    <w:rPr>
                      <w:rFonts w:ascii="Times New Roman"/>
                      <w:color w:val="auto"/>
                      <w:sz w:val="21"/>
                      <w:szCs w:val="21"/>
                    </w:rPr>
                    <w:t>336-064-17</w:t>
                  </w:r>
                </w:p>
              </w:tc>
              <w:tc>
                <w:tcPr>
                  <w:tcW w:w="960" w:type="dxa"/>
                  <w:noWrap w:val="0"/>
                  <w:vAlign w:val="center"/>
                </w:tcPr>
                <w:p>
                  <w:pPr>
                    <w:adjustRightInd/>
                    <w:snapToGrid/>
                    <w:spacing w:after="0"/>
                    <w:jc w:val="center"/>
                    <w:rPr>
                      <w:rFonts w:ascii="Times New Roman" w:hAnsi="Times New Roman" w:eastAsia="宋体"/>
                      <w:color w:val="auto"/>
                      <w:kern w:val="2"/>
                      <w:sz w:val="21"/>
                      <w:szCs w:val="21"/>
                    </w:rPr>
                  </w:pPr>
                  <w:r>
                    <w:rPr>
                      <w:rFonts w:hint="default" w:ascii="Times New Roman" w:hAnsi="Times New Roman" w:eastAsia="Times New Roman" w:cs="Times New Roman"/>
                      <w:color w:val="auto"/>
                      <w:sz w:val="21"/>
                      <w:szCs w:val="21"/>
                    </w:rPr>
                    <w:t>32.64</w:t>
                  </w:r>
                </w:p>
              </w:tc>
              <w:tc>
                <w:tcPr>
                  <w:tcW w:w="838" w:type="dxa"/>
                  <w:noWrap w:val="0"/>
                  <w:vAlign w:val="center"/>
                </w:tcPr>
                <w:p>
                  <w:pPr>
                    <w:adjustRightInd/>
                    <w:snapToGrid/>
                    <w:spacing w:after="0"/>
                    <w:jc w:val="center"/>
                    <w:rPr>
                      <w:rFonts w:ascii="Times New Roman" w:hAnsi="Times New Roman" w:eastAsia="宋体"/>
                      <w:color w:val="auto"/>
                      <w:kern w:val="2"/>
                      <w:sz w:val="21"/>
                      <w:szCs w:val="21"/>
                      <w:lang w:val="en-US" w:eastAsia="zh-CN" w:bidi="ar-SA"/>
                    </w:rPr>
                  </w:pPr>
                  <w:r>
                    <w:rPr>
                      <w:rFonts w:hint="default" w:ascii="Times New Roman" w:hAnsi="Times New Roman" w:eastAsia="Times New Roman" w:cs="Times New Roman"/>
                      <w:color w:val="auto"/>
                      <w:sz w:val="21"/>
                      <w:szCs w:val="21"/>
                    </w:rPr>
                    <w:t>32.64</w:t>
                  </w:r>
                </w:p>
              </w:tc>
              <w:tc>
                <w:tcPr>
                  <w:tcW w:w="1185" w:type="dxa"/>
                  <w:vMerge w:val="continue"/>
                  <w:noWrap w:val="0"/>
                  <w:vAlign w:val="center"/>
                </w:tcPr>
                <w:p>
                  <w:pPr>
                    <w:adjustRightInd/>
                    <w:snapToGrid/>
                    <w:jc w:val="center"/>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71" w:type="dxa"/>
                  <w:noWrap w:val="0"/>
                  <w:vAlign w:val="center"/>
                </w:tcPr>
                <w:p>
                  <w:pPr>
                    <w:pStyle w:val="18"/>
                    <w:rPr>
                      <w:rFonts w:hint="default" w:eastAsia="宋体"/>
                      <w:color w:val="auto"/>
                      <w:sz w:val="21"/>
                      <w:szCs w:val="21"/>
                      <w:lang w:val="en-US" w:eastAsia="zh-CN" w:bidi="ar-SA"/>
                    </w:rPr>
                  </w:pPr>
                  <w:r>
                    <w:rPr>
                      <w:rFonts w:hint="eastAsia"/>
                      <w:color w:val="auto"/>
                      <w:kern w:val="2"/>
                      <w:sz w:val="21"/>
                      <w:szCs w:val="21"/>
                      <w:lang w:val="en-US" w:eastAsia="zh-CN"/>
                    </w:rPr>
                    <w:t>4</w:t>
                  </w:r>
                </w:p>
              </w:tc>
              <w:tc>
                <w:tcPr>
                  <w:tcW w:w="1327"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污泥</w:t>
                  </w:r>
                </w:p>
              </w:tc>
              <w:tc>
                <w:tcPr>
                  <w:tcW w:w="1341"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废水处理</w:t>
                  </w:r>
                </w:p>
              </w:tc>
              <w:tc>
                <w:tcPr>
                  <w:tcW w:w="893"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231"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HW17</w:t>
                  </w:r>
                </w:p>
                <w:p>
                  <w:pPr>
                    <w:adjustRightInd/>
                    <w:snapToGrid/>
                    <w:spacing w:after="0"/>
                    <w:jc w:val="center"/>
                    <w:rPr>
                      <w:rFonts w:ascii="Times New Roman" w:hAnsi="Times New Roman" w:eastAsia="宋体"/>
                      <w:color w:val="auto"/>
                      <w:kern w:val="2"/>
                      <w:sz w:val="21"/>
                      <w:szCs w:val="21"/>
                    </w:rPr>
                  </w:pPr>
                  <w:r>
                    <w:rPr>
                      <w:rFonts w:ascii="Times New Roman"/>
                      <w:color w:val="auto"/>
                      <w:sz w:val="21"/>
                      <w:szCs w:val="21"/>
                    </w:rPr>
                    <w:t>336-064-17</w:t>
                  </w:r>
                </w:p>
              </w:tc>
              <w:tc>
                <w:tcPr>
                  <w:tcW w:w="960" w:type="dxa"/>
                  <w:noWrap w:val="0"/>
                  <w:vAlign w:val="center"/>
                </w:tcPr>
                <w:p>
                  <w:pPr>
                    <w:adjustRightInd/>
                    <w:snapToGrid/>
                    <w:spacing w:after="0"/>
                    <w:jc w:val="center"/>
                    <w:rPr>
                      <w:rFonts w:ascii="Times New Roman" w:hAnsi="Times New Roman" w:eastAsia="宋体"/>
                      <w:color w:val="auto"/>
                      <w:kern w:val="2"/>
                      <w:sz w:val="21"/>
                      <w:szCs w:val="21"/>
                    </w:rPr>
                  </w:pPr>
                  <w:r>
                    <w:rPr>
                      <w:rFonts w:ascii="Times New Roman"/>
                      <w:color w:val="auto"/>
                      <w:sz w:val="21"/>
                      <w:szCs w:val="21"/>
                    </w:rPr>
                    <w:t>9.5</w:t>
                  </w:r>
                </w:p>
              </w:tc>
              <w:tc>
                <w:tcPr>
                  <w:tcW w:w="838" w:type="dxa"/>
                  <w:noWrap w:val="0"/>
                  <w:vAlign w:val="center"/>
                </w:tcPr>
                <w:p>
                  <w:pPr>
                    <w:adjustRightInd/>
                    <w:snapToGrid/>
                    <w:spacing w:after="0"/>
                    <w:jc w:val="center"/>
                    <w:rPr>
                      <w:rFonts w:ascii="Times New Roman" w:hAnsi="Times New Roman" w:eastAsia="宋体"/>
                      <w:color w:val="auto"/>
                      <w:kern w:val="2"/>
                      <w:sz w:val="21"/>
                      <w:szCs w:val="21"/>
                      <w:lang w:val="en-US" w:eastAsia="zh-CN" w:bidi="ar-SA"/>
                    </w:rPr>
                  </w:pPr>
                  <w:r>
                    <w:rPr>
                      <w:rFonts w:ascii="Times New Roman"/>
                      <w:color w:val="auto"/>
                      <w:sz w:val="21"/>
                      <w:szCs w:val="21"/>
                    </w:rPr>
                    <w:t>9.5</w:t>
                  </w:r>
                </w:p>
              </w:tc>
              <w:tc>
                <w:tcPr>
                  <w:tcW w:w="1185" w:type="dxa"/>
                  <w:vMerge w:val="continue"/>
                  <w:noWrap w:val="0"/>
                  <w:vAlign w:val="center"/>
                </w:tcPr>
                <w:p>
                  <w:pPr>
                    <w:pStyle w:val="18"/>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default" w:eastAsia="宋体"/>
                      <w:color w:val="auto"/>
                      <w:kern w:val="2"/>
                      <w:sz w:val="21"/>
                      <w:szCs w:val="21"/>
                      <w:lang w:val="en-US" w:eastAsia="zh-CN" w:bidi="ar-SA"/>
                    </w:rPr>
                  </w:pPr>
                  <w:r>
                    <w:rPr>
                      <w:rFonts w:hint="eastAsia" w:eastAsia="宋体"/>
                      <w:color w:val="auto"/>
                      <w:kern w:val="2"/>
                      <w:sz w:val="21"/>
                      <w:szCs w:val="21"/>
                      <w:lang w:val="en-US" w:eastAsia="zh-CN"/>
                    </w:rPr>
                    <w:t>5</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废活性炭</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废气治理</w:t>
                  </w:r>
                </w:p>
              </w:tc>
              <w:tc>
                <w:tcPr>
                  <w:tcW w:w="701"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163"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HW49</w:t>
                  </w:r>
                </w:p>
                <w:p>
                  <w:pPr>
                    <w:adjustRightInd/>
                    <w:snapToGrid/>
                    <w:spacing w:after="0"/>
                    <w:jc w:val="center"/>
                    <w:rPr>
                      <w:rFonts w:ascii="Times New Roman" w:hAnsi="Times New Roman" w:eastAsia="宋体"/>
                      <w:color w:val="auto"/>
                      <w:kern w:val="2"/>
                      <w:sz w:val="21"/>
                      <w:szCs w:val="21"/>
                    </w:rPr>
                  </w:pPr>
                  <w:r>
                    <w:rPr>
                      <w:rFonts w:ascii="Times New Roman"/>
                      <w:color w:val="auto"/>
                      <w:sz w:val="21"/>
                      <w:szCs w:val="21"/>
                    </w:rPr>
                    <w:t>900-039-49</w:t>
                  </w:r>
                </w:p>
              </w:tc>
              <w:tc>
                <w:tcPr>
                  <w:tcW w:w="825" w:type="dxa"/>
                  <w:noWrap w:val="0"/>
                  <w:vAlign w:val="center"/>
                </w:tcPr>
                <w:p>
                  <w:pPr>
                    <w:adjustRightInd/>
                    <w:snapToGrid/>
                    <w:spacing w:after="0"/>
                    <w:jc w:val="center"/>
                    <w:rPr>
                      <w:rFonts w:ascii="Times New Roman" w:hAnsi="Times New Roman" w:eastAsia="宋体"/>
                      <w:color w:val="auto"/>
                      <w:kern w:val="2"/>
                      <w:sz w:val="21"/>
                      <w:szCs w:val="21"/>
                    </w:rPr>
                  </w:pPr>
                  <w:r>
                    <w:rPr>
                      <w:rFonts w:ascii="Times New Roman"/>
                      <w:color w:val="auto"/>
                      <w:sz w:val="21"/>
                      <w:szCs w:val="21"/>
                    </w:rPr>
                    <w:t>6.21</w:t>
                  </w:r>
                </w:p>
              </w:tc>
              <w:tc>
                <w:tcPr>
                  <w:tcW w:w="738" w:type="dxa"/>
                  <w:noWrap w:val="0"/>
                  <w:vAlign w:val="center"/>
                </w:tcPr>
                <w:p>
                  <w:pPr>
                    <w:pStyle w:val="18"/>
                    <w:rPr>
                      <w:rFonts w:hint="default" w:eastAsia="宋体"/>
                      <w:color w:val="auto"/>
                      <w:sz w:val="21"/>
                      <w:szCs w:val="21"/>
                      <w:lang w:val="en-US" w:eastAsia="zh-CN"/>
                    </w:rPr>
                  </w:pPr>
                  <w:r>
                    <w:rPr>
                      <w:rFonts w:hint="eastAsia"/>
                      <w:color w:val="auto"/>
                      <w:sz w:val="21"/>
                      <w:szCs w:val="21"/>
                      <w:lang w:val="en-US" w:eastAsia="zh-CN"/>
                    </w:rPr>
                    <w:t>9.32</w:t>
                  </w:r>
                </w:p>
              </w:tc>
              <w:tc>
                <w:tcPr>
                  <w:tcW w:w="1185" w:type="dxa"/>
                  <w:vMerge w:val="continue"/>
                  <w:noWrap w:val="0"/>
                  <w:vAlign w:val="center"/>
                </w:tcPr>
                <w:p>
                  <w:pPr>
                    <w:pStyle w:val="18"/>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default" w:eastAsia="宋体"/>
                      <w:color w:val="auto"/>
                      <w:kern w:val="2"/>
                      <w:sz w:val="21"/>
                      <w:szCs w:val="21"/>
                      <w:lang w:val="en-US" w:eastAsia="zh-CN" w:bidi="ar-SA"/>
                    </w:rPr>
                  </w:pPr>
                  <w:r>
                    <w:rPr>
                      <w:rFonts w:hint="eastAsia" w:eastAsia="宋体"/>
                      <w:color w:val="auto"/>
                      <w:kern w:val="2"/>
                      <w:sz w:val="21"/>
                      <w:szCs w:val="21"/>
                      <w:lang w:val="en-US" w:eastAsia="zh-CN"/>
                    </w:rPr>
                    <w:t>6</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废桶</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酸、表调剂、磷化剂、硅烷剂等原料使用</w:t>
                  </w:r>
                </w:p>
              </w:tc>
              <w:tc>
                <w:tcPr>
                  <w:tcW w:w="701"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163" w:type="dxa"/>
                  <w:noWrap w:val="0"/>
                  <w:vAlign w:val="center"/>
                </w:tcPr>
                <w:p>
                  <w:pPr>
                    <w:adjustRightInd/>
                    <w:snapToGrid/>
                    <w:spacing w:after="0"/>
                    <w:jc w:val="center"/>
                    <w:rPr>
                      <w:rFonts w:ascii="Times New Roman"/>
                      <w:color w:val="auto"/>
                      <w:spacing w:val="2"/>
                      <w:sz w:val="21"/>
                      <w:szCs w:val="21"/>
                    </w:rPr>
                  </w:pPr>
                  <w:r>
                    <w:rPr>
                      <w:rFonts w:ascii="Times New Roman"/>
                      <w:color w:val="auto"/>
                      <w:spacing w:val="2"/>
                      <w:sz w:val="21"/>
                      <w:szCs w:val="21"/>
                    </w:rPr>
                    <w:t>HW49</w:t>
                  </w:r>
                </w:p>
                <w:p>
                  <w:pPr>
                    <w:adjustRightInd/>
                    <w:snapToGrid/>
                    <w:spacing w:after="0"/>
                    <w:jc w:val="center"/>
                    <w:rPr>
                      <w:rFonts w:ascii="Times New Roman" w:hAnsi="Times New Roman" w:eastAsia="宋体"/>
                      <w:color w:val="auto"/>
                      <w:kern w:val="2"/>
                      <w:sz w:val="21"/>
                      <w:szCs w:val="21"/>
                    </w:rPr>
                  </w:pPr>
                  <w:r>
                    <w:rPr>
                      <w:rFonts w:ascii="Times New Roman"/>
                      <w:color w:val="auto"/>
                      <w:sz w:val="21"/>
                      <w:szCs w:val="21"/>
                    </w:rPr>
                    <w:t>900-041-49</w:t>
                  </w:r>
                </w:p>
              </w:tc>
              <w:tc>
                <w:tcPr>
                  <w:tcW w:w="825"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0.015</w:t>
                  </w:r>
                </w:p>
              </w:tc>
              <w:tc>
                <w:tcPr>
                  <w:tcW w:w="738"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0.015</w:t>
                  </w:r>
                </w:p>
              </w:tc>
              <w:tc>
                <w:tcPr>
                  <w:tcW w:w="1185" w:type="dxa"/>
                  <w:vMerge w:val="continue"/>
                  <w:noWrap w:val="0"/>
                  <w:vAlign w:val="center"/>
                </w:tcPr>
                <w:p>
                  <w:pPr>
                    <w:pStyle w:val="18"/>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eastAsia" w:eastAsia="宋体"/>
                      <w:color w:val="auto"/>
                      <w:kern w:val="2"/>
                      <w:sz w:val="21"/>
                      <w:szCs w:val="21"/>
                      <w:lang w:val="en-US" w:eastAsia="zh-CN" w:bidi="ar-SA"/>
                    </w:rPr>
                  </w:pPr>
                  <w:r>
                    <w:rPr>
                      <w:rFonts w:hint="eastAsia" w:eastAsia="宋体"/>
                      <w:color w:val="auto"/>
                      <w:kern w:val="2"/>
                      <w:sz w:val="21"/>
                      <w:szCs w:val="21"/>
                      <w:lang w:val="en-US" w:eastAsia="zh-CN"/>
                    </w:rPr>
                    <w:t>7</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水性漆渣</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晾干</w:t>
                  </w:r>
                </w:p>
              </w:tc>
              <w:tc>
                <w:tcPr>
                  <w:tcW w:w="701"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rPr>
                    <w:t>固</w:t>
                  </w:r>
                </w:p>
              </w:tc>
              <w:tc>
                <w:tcPr>
                  <w:tcW w:w="552" w:type="dxa"/>
                  <w:vMerge w:val="restart"/>
                  <w:noWrap w:val="0"/>
                  <w:vAlign w:val="center"/>
                </w:tcPr>
                <w:p>
                  <w:pPr>
                    <w:pStyle w:val="18"/>
                    <w:rPr>
                      <w:color w:val="auto"/>
                      <w:sz w:val="21"/>
                      <w:szCs w:val="21"/>
                    </w:rPr>
                  </w:pPr>
                  <w:r>
                    <w:rPr>
                      <w:rFonts w:hint="eastAsia"/>
                      <w:color w:val="auto"/>
                      <w:kern w:val="2"/>
                      <w:sz w:val="21"/>
                      <w:szCs w:val="21"/>
                    </w:rPr>
                    <w:t>一般固废</w:t>
                  </w:r>
                </w:p>
              </w:tc>
              <w:tc>
                <w:tcPr>
                  <w:tcW w:w="1163"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c>
                <w:tcPr>
                  <w:tcW w:w="825"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0.1</w:t>
                  </w:r>
                </w:p>
              </w:tc>
              <w:tc>
                <w:tcPr>
                  <w:tcW w:w="738"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0.1</w:t>
                  </w:r>
                </w:p>
              </w:tc>
              <w:tc>
                <w:tcPr>
                  <w:tcW w:w="1185" w:type="dxa"/>
                  <w:vMerge w:val="restart"/>
                  <w:noWrap w:val="0"/>
                  <w:vAlign w:val="center"/>
                </w:tcPr>
                <w:p>
                  <w:pPr>
                    <w:pStyle w:val="18"/>
                    <w:rPr>
                      <w:rFonts w:hint="default" w:eastAsia="宋体"/>
                      <w:color w:val="auto"/>
                      <w:sz w:val="21"/>
                      <w:szCs w:val="21"/>
                      <w:lang w:val="en-US" w:eastAsia="zh-CN"/>
                    </w:rPr>
                  </w:pPr>
                  <w:r>
                    <w:rPr>
                      <w:rFonts w:hint="default" w:ascii="宋体" w:hAnsi="宋体" w:eastAsia="宋体" w:cs="宋体"/>
                      <w:color w:val="auto"/>
                      <w:sz w:val="21"/>
                      <w:szCs w:val="21"/>
                    </w:rPr>
                    <w:t>委托浙江裕欣环境科技有限责任公司</w:t>
                  </w:r>
                  <w:r>
                    <w:rPr>
                      <w:rFonts w:hint="eastAsia" w:ascii="宋体" w:hAnsi="宋体" w:eastAsia="宋体" w:cs="宋体"/>
                      <w:color w:val="auto"/>
                      <w:sz w:val="21"/>
                      <w:szCs w:val="21"/>
                      <w:lang w:val="en-US" w:eastAsia="zh-CN"/>
                    </w:rPr>
                    <w:t>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default" w:eastAsia="宋体"/>
                      <w:color w:val="auto"/>
                      <w:kern w:val="2"/>
                      <w:sz w:val="21"/>
                      <w:szCs w:val="21"/>
                      <w:lang w:val="en-US" w:eastAsia="zh-CN"/>
                    </w:rPr>
                  </w:pPr>
                  <w:r>
                    <w:rPr>
                      <w:rFonts w:hint="eastAsia" w:eastAsia="宋体"/>
                      <w:color w:val="auto"/>
                      <w:kern w:val="2"/>
                      <w:sz w:val="21"/>
                      <w:szCs w:val="21"/>
                      <w:lang w:val="en-US" w:eastAsia="zh-CN"/>
                    </w:rPr>
                    <w:t>8</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废塑粉</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喷塑</w:t>
                  </w:r>
                </w:p>
              </w:tc>
              <w:tc>
                <w:tcPr>
                  <w:tcW w:w="701"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163"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c>
                <w:tcPr>
                  <w:tcW w:w="825"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2.5</w:t>
                  </w:r>
                </w:p>
              </w:tc>
              <w:tc>
                <w:tcPr>
                  <w:tcW w:w="738"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2.5</w:t>
                  </w:r>
                </w:p>
              </w:tc>
              <w:tc>
                <w:tcPr>
                  <w:tcW w:w="1185" w:type="dxa"/>
                  <w:vMerge w:val="continue"/>
                  <w:noWrap w:val="0"/>
                  <w:vAlign w:val="center"/>
                </w:tcPr>
                <w:p>
                  <w:pPr>
                    <w:pStyle w:val="18"/>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default" w:eastAsia="宋体"/>
                      <w:color w:val="auto"/>
                      <w:kern w:val="2"/>
                      <w:sz w:val="21"/>
                      <w:szCs w:val="21"/>
                      <w:lang w:val="en-US" w:eastAsia="zh-CN"/>
                    </w:rPr>
                  </w:pPr>
                  <w:r>
                    <w:rPr>
                      <w:rFonts w:hint="eastAsia" w:eastAsia="宋体"/>
                      <w:color w:val="auto"/>
                      <w:kern w:val="2"/>
                      <w:sz w:val="21"/>
                      <w:szCs w:val="21"/>
                      <w:lang w:val="en-US" w:eastAsia="zh-CN"/>
                    </w:rPr>
                    <w:t>9</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金属屑及边料</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下料打眼、下料冲压</w:t>
                  </w:r>
                </w:p>
              </w:tc>
              <w:tc>
                <w:tcPr>
                  <w:tcW w:w="701" w:type="dxa"/>
                  <w:noWrap w:val="0"/>
                  <w:vAlign w:val="center"/>
                </w:tcPr>
                <w:p>
                  <w:pPr>
                    <w:adjustRightInd/>
                    <w:snapToGrid/>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163"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c>
                <w:tcPr>
                  <w:tcW w:w="825"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25</w:t>
                  </w:r>
                </w:p>
              </w:tc>
              <w:tc>
                <w:tcPr>
                  <w:tcW w:w="738"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25</w:t>
                  </w:r>
                </w:p>
              </w:tc>
              <w:tc>
                <w:tcPr>
                  <w:tcW w:w="1185" w:type="dxa"/>
                  <w:vMerge w:val="continue"/>
                  <w:noWrap w:val="0"/>
                  <w:vAlign w:val="center"/>
                </w:tcPr>
                <w:p>
                  <w:pPr>
                    <w:pStyle w:val="18"/>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26" w:type="dxa"/>
                  <w:noWrap w:val="0"/>
                  <w:vAlign w:val="center"/>
                </w:tcPr>
                <w:p>
                  <w:pPr>
                    <w:pStyle w:val="18"/>
                    <w:rPr>
                      <w:rFonts w:hint="default" w:eastAsia="宋体"/>
                      <w:color w:val="auto"/>
                      <w:kern w:val="2"/>
                      <w:sz w:val="21"/>
                      <w:szCs w:val="21"/>
                      <w:lang w:val="en-US" w:eastAsia="zh-CN"/>
                    </w:rPr>
                  </w:pPr>
                  <w:r>
                    <w:rPr>
                      <w:rFonts w:hint="eastAsia" w:eastAsia="宋体"/>
                      <w:color w:val="auto"/>
                      <w:kern w:val="2"/>
                      <w:sz w:val="21"/>
                      <w:szCs w:val="21"/>
                      <w:lang w:val="en-US" w:eastAsia="zh-CN"/>
                    </w:rPr>
                    <w:t>10</w:t>
                  </w:r>
                </w:p>
              </w:tc>
              <w:tc>
                <w:tcPr>
                  <w:tcW w:w="1124"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一般性包装材料</w:t>
                  </w:r>
                </w:p>
              </w:tc>
              <w:tc>
                <w:tcPr>
                  <w:tcW w:w="2830" w:type="dxa"/>
                  <w:noWrap w:val="0"/>
                  <w:vAlign w:val="center"/>
                </w:tcPr>
                <w:p>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塑粉等使用</w:t>
                  </w:r>
                </w:p>
              </w:tc>
              <w:tc>
                <w:tcPr>
                  <w:tcW w:w="701" w:type="dxa"/>
                  <w:noWrap w:val="0"/>
                  <w:vAlign w:val="center"/>
                </w:tcPr>
                <w:p>
                  <w:pPr>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固</w:t>
                  </w:r>
                </w:p>
              </w:tc>
              <w:tc>
                <w:tcPr>
                  <w:tcW w:w="552" w:type="dxa"/>
                  <w:vMerge w:val="continue"/>
                  <w:noWrap w:val="0"/>
                  <w:vAlign w:val="center"/>
                </w:tcPr>
                <w:p>
                  <w:pPr>
                    <w:pStyle w:val="18"/>
                    <w:rPr>
                      <w:color w:val="auto"/>
                      <w:sz w:val="21"/>
                      <w:szCs w:val="21"/>
                    </w:rPr>
                  </w:pPr>
                </w:p>
              </w:tc>
              <w:tc>
                <w:tcPr>
                  <w:tcW w:w="1163" w:type="dxa"/>
                  <w:noWrap w:val="0"/>
                  <w:vAlign w:val="center"/>
                </w:tcPr>
                <w:p>
                  <w:pPr>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c>
                <w:tcPr>
                  <w:tcW w:w="825"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0.5</w:t>
                  </w:r>
                </w:p>
              </w:tc>
              <w:tc>
                <w:tcPr>
                  <w:tcW w:w="738" w:type="dxa"/>
                  <w:noWrap w:val="0"/>
                  <w:vAlign w:val="center"/>
                </w:tcPr>
                <w:p>
                  <w:pPr>
                    <w:adjustRightInd/>
                    <w:snapToGrid/>
                    <w:spacing w:after="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rPr>
                    <w:t>0.5</w:t>
                  </w:r>
                </w:p>
              </w:tc>
              <w:tc>
                <w:tcPr>
                  <w:tcW w:w="1185" w:type="dxa"/>
                  <w:vMerge w:val="continue"/>
                  <w:noWrap w:val="0"/>
                  <w:vAlign w:val="center"/>
                </w:tcPr>
                <w:p>
                  <w:pPr>
                    <w:pStyle w:val="18"/>
                    <w:rPr>
                      <w:color w:val="auto"/>
                      <w:sz w:val="21"/>
                      <w:szCs w:val="21"/>
                    </w:rPr>
                  </w:pPr>
                </w:p>
              </w:tc>
            </w:tr>
          </w:tbl>
          <w:p>
            <w:pPr>
              <w:spacing w:after="0"/>
              <w:rPr>
                <w:vanish/>
                <w:color w:val="auto"/>
              </w:rPr>
            </w:pPr>
          </w:p>
          <w:p>
            <w:pPr>
              <w:widowControl w:val="0"/>
              <w:adjustRightInd/>
              <w:snapToGrid/>
              <w:spacing w:after="0" w:line="360" w:lineRule="auto"/>
              <w:ind w:firstLine="482" w:firstLineChars="200"/>
              <w:jc w:val="both"/>
              <w:rPr>
                <w:rFonts w:hint="default" w:ascii="Times New Roman" w:hAnsi="Times New Roman" w:eastAsia="宋体" w:cs="Times New Roman"/>
                <w:b/>
                <w:bCs/>
                <w:color w:val="auto"/>
                <w:kern w:val="2"/>
                <w:sz w:val="24"/>
                <w:szCs w:val="24"/>
                <w:lang w:val="en-US"/>
              </w:rPr>
            </w:pPr>
            <w:bookmarkStart w:id="27" w:name="_GoBack"/>
            <w:bookmarkEnd w:id="27"/>
            <w:r>
              <w:rPr>
                <w:rFonts w:ascii="Times New Roman" w:hAnsi="Times New Roman" w:eastAsia="宋体" w:cs="Times New Roman"/>
                <w:b/>
                <w:bCs/>
                <w:color w:val="auto"/>
                <w:kern w:val="2"/>
                <w:sz w:val="24"/>
                <w:szCs w:val="24"/>
              </w:rPr>
              <w:t>3.</w:t>
            </w:r>
            <w:r>
              <w:rPr>
                <w:rFonts w:hint="eastAsia" w:ascii="Times New Roman" w:hAnsi="Times New Roman" w:eastAsia="宋体" w:cs="Times New Roman"/>
                <w:b/>
                <w:bCs/>
                <w:color w:val="auto"/>
                <w:kern w:val="2"/>
                <w:sz w:val="24"/>
                <w:szCs w:val="24"/>
                <w:lang w:val="en-US" w:eastAsia="zh-CN"/>
              </w:rPr>
              <w:t>5风险防控措施</w:t>
            </w:r>
          </w:p>
          <w:p>
            <w:pPr>
              <w:widowControl w:val="0"/>
              <w:adjustRightInd/>
              <w:snapToGrid/>
              <w:spacing w:after="0" w:line="336" w:lineRule="auto"/>
              <w:ind w:firstLine="482"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b/>
                <w:bCs/>
                <w:color w:val="auto"/>
                <w:kern w:val="2"/>
                <w:sz w:val="24"/>
                <w:szCs w:val="24"/>
              </w:rPr>
              <w:t>环评要求：</w:t>
            </w: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需配备总容量不低于</w:t>
            </w:r>
            <w:r>
              <w:rPr>
                <w:rFonts w:hint="eastAsia" w:ascii="Times New Roman" w:hAnsi="Times New Roman" w:eastAsia="宋体" w:cs="Times New Roman"/>
                <w:color w:val="auto"/>
                <w:kern w:val="2"/>
                <w:sz w:val="24"/>
                <w:szCs w:val="24"/>
                <w:lang w:val="en-US" w:eastAsia="zh-CN"/>
              </w:rPr>
              <w:t>22.5</w:t>
            </w:r>
            <w:r>
              <w:rPr>
                <w:rFonts w:hint="eastAsia" w:ascii="Times New Roman" w:hAnsi="Times New Roman" w:eastAsia="宋体" w:cs="Times New Roman"/>
                <w:color w:val="auto"/>
                <w:kern w:val="2"/>
                <w:sz w:val="24"/>
                <w:szCs w:val="24"/>
              </w:rPr>
              <w:t>m</w:t>
            </w:r>
            <w:r>
              <w:rPr>
                <w:rFonts w:hint="eastAsia" w:ascii="Times New Roman" w:hAnsi="Times New Roman" w:eastAsia="宋体" w:cs="Times New Roman"/>
                <w:color w:val="auto"/>
                <w:kern w:val="2"/>
                <w:sz w:val="24"/>
                <w:szCs w:val="24"/>
                <w:vertAlign w:val="superscript"/>
              </w:rPr>
              <w:t>3</w:t>
            </w:r>
            <w:r>
              <w:rPr>
                <w:rFonts w:hint="eastAsia" w:ascii="Times New Roman" w:hAnsi="Times New Roman" w:eastAsia="宋体" w:cs="Times New Roman"/>
                <w:color w:val="auto"/>
                <w:kern w:val="2"/>
                <w:sz w:val="24"/>
                <w:szCs w:val="24"/>
              </w:rPr>
              <w:t>的事故应急池，且设置好相应的截污管网和阀门，发生事故时，及时将排放口与外水体切断，方可满足企业应急情况所需</w:t>
            </w:r>
            <w:r>
              <w:rPr>
                <w:rFonts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rPr>
              <w:t>公司应结合项目周围环境特征、国内外同类生产厂的生产经验，编写本工程相应的事故应急救援预案，并报当地政府和生态环境部门备案。同时，企业应定期开展事故应急演练。</w:t>
            </w:r>
          </w:p>
          <w:p>
            <w:pPr>
              <w:widowControl w:val="0"/>
              <w:adjustRightInd/>
              <w:snapToGrid/>
              <w:spacing w:after="0" w:line="336" w:lineRule="auto"/>
              <w:ind w:firstLine="482" w:firstLineChars="200"/>
              <w:jc w:val="both"/>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b/>
                <w:bCs/>
                <w:color w:val="auto"/>
                <w:kern w:val="2"/>
                <w:sz w:val="24"/>
                <w:szCs w:val="24"/>
              </w:rPr>
              <w:t>实际落实情况：</w:t>
            </w:r>
            <w:r>
              <w:rPr>
                <w:rFonts w:hint="eastAsia" w:ascii="Times New Roman" w:hAnsi="Times New Roman" w:eastAsia="宋体" w:cs="Times New Roman"/>
                <w:color w:val="auto"/>
                <w:kern w:val="2"/>
                <w:sz w:val="24"/>
                <w:szCs w:val="24"/>
              </w:rPr>
              <w:t>已按环评要求设置了容积</w:t>
            </w:r>
            <w:r>
              <w:rPr>
                <w:rFonts w:hint="eastAsia" w:ascii="Times New Roman" w:hAnsi="Times New Roman" w:eastAsia="宋体" w:cs="Times New Roman"/>
                <w:color w:val="auto"/>
                <w:kern w:val="2"/>
                <w:sz w:val="24"/>
                <w:szCs w:val="24"/>
                <w:lang w:val="en-US" w:eastAsia="zh-CN"/>
              </w:rPr>
              <w:t>46.2</w:t>
            </w:r>
            <w:r>
              <w:rPr>
                <w:rFonts w:hint="eastAsia" w:ascii="Times New Roman" w:hAnsi="Times New Roman" w:eastAsia="宋体" w:cs="Times New Roman"/>
                <w:color w:val="auto"/>
                <w:kern w:val="2"/>
                <w:sz w:val="24"/>
                <w:szCs w:val="24"/>
              </w:rPr>
              <w:t>m</w:t>
            </w:r>
            <w:r>
              <w:rPr>
                <w:rFonts w:hint="eastAsia" w:ascii="Times New Roman" w:hAnsi="Times New Roman" w:eastAsia="宋体" w:cs="Times New Roman"/>
                <w:color w:val="auto"/>
                <w:kern w:val="2"/>
                <w:sz w:val="24"/>
                <w:szCs w:val="24"/>
                <w:vertAlign w:val="superscript"/>
              </w:rPr>
              <w:t>3</w:t>
            </w:r>
            <w:r>
              <w:rPr>
                <w:rFonts w:hint="eastAsia" w:ascii="Times New Roman" w:hAnsi="Times New Roman" w:eastAsia="宋体" w:cs="Times New Roman"/>
                <w:color w:val="auto"/>
                <w:kern w:val="2"/>
                <w:sz w:val="24"/>
                <w:szCs w:val="24"/>
              </w:rPr>
              <w:t>的事故应急池，且设置好相应的截污管网和阀门</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已完成应急预案修订，并完成备案，备案号：330203-2024-001-L。</w:t>
            </w:r>
          </w:p>
          <w:p>
            <w:pPr>
              <w:widowControl w:val="0"/>
              <w:adjustRightInd/>
              <w:snapToGrid/>
              <w:spacing w:after="0" w:line="336" w:lineRule="auto"/>
              <w:ind w:firstLine="440" w:firstLineChars="200"/>
              <w:jc w:val="both"/>
              <w:rPr>
                <w:rFonts w:ascii="Times New Roman" w:hAnsi="Times New Roman" w:eastAsia="宋体"/>
                <w:color w:val="auto"/>
              </w:rPr>
            </w:pPr>
          </w:p>
        </w:tc>
      </w:tr>
    </w:tbl>
    <w:p>
      <w:pPr>
        <w:adjustRightInd/>
        <w:snapToGrid/>
        <w:spacing w:after="0" w:line="360" w:lineRule="auto"/>
        <w:rPr>
          <w:rFonts w:ascii="Times New Roman" w:hAnsi="Times New Roman" w:eastAsia="宋体"/>
          <w:b/>
          <w:color w:val="auto"/>
          <w:sz w:val="24"/>
          <w:szCs w:val="24"/>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15" w:name="_Toc16089"/>
      <w:bookmarkStart w:id="16" w:name="_Toc22037"/>
      <w:r>
        <w:rPr>
          <w:rFonts w:ascii="Times New Roman" w:hAnsi="Times New Roman" w:eastAsia="宋体"/>
          <w:color w:val="auto"/>
        </w:rPr>
        <w:t>表四</w:t>
      </w:r>
      <w:bookmarkEnd w:id="15"/>
      <w:r>
        <w:rPr>
          <w:rFonts w:ascii="Times New Roman" w:hAnsi="Times New Roman" w:eastAsia="宋体"/>
          <w:color w:val="auto"/>
        </w:rPr>
        <w:t>环境影响评价回顾</w:t>
      </w:r>
      <w:bookmarkEnd w:id="16"/>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jc w:val="center"/>
        </w:trPr>
        <w:tc>
          <w:tcPr>
            <w:tcW w:w="5000" w:type="pct"/>
            <w:noWrap w:val="0"/>
            <w:vAlign w:val="top"/>
          </w:tcPr>
          <w:p>
            <w:pPr>
              <w:widowControl w:val="0"/>
              <w:adjustRightInd/>
              <w:snapToGrid/>
              <w:spacing w:after="0" w:line="336" w:lineRule="auto"/>
              <w:ind w:firstLine="482" w:firstLineChars="200"/>
              <w:jc w:val="both"/>
              <w:rPr>
                <w:rFonts w:ascii="Times New Roman" w:hAnsi="Times New Roman" w:eastAsia="宋体"/>
                <w:b/>
                <w:bCs/>
                <w:color w:val="auto"/>
                <w:sz w:val="24"/>
                <w:szCs w:val="24"/>
              </w:rPr>
            </w:pPr>
            <w:r>
              <w:rPr>
                <w:rFonts w:ascii="Times New Roman" w:hAnsi="Times New Roman" w:eastAsia="宋体"/>
                <w:b/>
                <w:bCs/>
                <w:color w:val="auto"/>
                <w:sz w:val="24"/>
                <w:szCs w:val="24"/>
              </w:rPr>
              <w:t>建设项目环境影响报告表主要结论：</w:t>
            </w:r>
          </w:p>
          <w:p>
            <w:pPr>
              <w:widowControl w:val="0"/>
              <w:adjustRightInd/>
              <w:snapToGrid/>
              <w:spacing w:after="0" w:line="336" w:lineRule="auto"/>
              <w:ind w:firstLine="482" w:firstLineChars="200"/>
              <w:jc w:val="both"/>
              <w:rPr>
                <w:rFonts w:hint="eastAsia" w:ascii="Times New Roman" w:hAnsi="Times New Roman" w:eastAsia="宋体"/>
                <w:b/>
                <w:color w:val="auto"/>
                <w:kern w:val="2"/>
                <w:sz w:val="24"/>
                <w:szCs w:val="24"/>
                <w:lang w:eastAsia="zh-CN"/>
              </w:rPr>
            </w:pPr>
            <w:r>
              <w:rPr>
                <w:rFonts w:ascii="Times New Roman" w:hAnsi="Times New Roman" w:eastAsia="宋体"/>
                <w:b/>
                <w:color w:val="auto"/>
                <w:kern w:val="2"/>
                <w:sz w:val="24"/>
                <w:szCs w:val="24"/>
              </w:rPr>
              <w:t>4.1</w:t>
            </w:r>
            <w:r>
              <w:rPr>
                <w:rFonts w:hint="eastAsia" w:ascii="Times New Roman" w:hAnsi="Times New Roman" w:eastAsia="宋体"/>
                <w:b/>
                <w:color w:val="auto"/>
                <w:kern w:val="2"/>
                <w:sz w:val="24"/>
                <w:szCs w:val="24"/>
                <w:lang w:val="en-US" w:eastAsia="zh-CN"/>
              </w:rPr>
              <w:t>废气</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技改项目新增废气主要为气枪吹尘废气、酸雾废气，喷塑、固化废气，浸漆及晾干废气、天然气燃烧废气。</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气枪吹尘废气：根据工艺可知，使用气枪吹尘的工件表面较干净，因此气枪吹尘工序产生的吹尘废气较少，通过加强车间通风等措施后，无组织粉尘排放速率能够满足《大气污染物综合排放标准》（GB16297-1996）中的颗粒物无组织排放限值相关要求，对周边环境影响较小。</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酸雾废气：本项目在新增酸洗槽的废气产生点侧方设置集气罩进行收集酸雾废气，收集后进入二级碱液喷淋塔进行处理达标后通过一根15m高排气筒（DA001）排放。各污染物排放浓度与排放速率均能够满足《大气污染物综合排放标准》（GB16297-1996）中的相关标准要求，对周边环境影响较小。</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喷塑粉尘：喷塑过程为风机抽风状态，喷房内为负压，粉尘经风机收集和滤网捕集后通过一根15m高排气筒（DA002）排放，污染因子非甲烷总烃排放能够满足《工业涂装工序大气污染物排放标准》（DB33 2146-2018）中的相关标准要求，对周边环境影响较小。</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固化废气：固化烘道产生的固化废气接入喷塑粉尘排气筒（DA002）高空排放，废气排放能够满足《工业涂装工序大气污染物排放标准》（DB33 2146-2018）中的相关标准要求，对周边环境影响较小。</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浸漆及晾干废气：浸漆废气和晾干废气经集气罩收集后接入</w:t>
            </w:r>
            <w:r>
              <w:rPr>
                <w:rFonts w:hint="eastAsia" w:ascii="Times New Roman" w:hAnsi="Times New Roman" w:eastAsia="宋体"/>
                <w:snapToGrid w:val="0"/>
                <w:color w:val="auto"/>
                <w:kern w:val="2"/>
                <w:sz w:val="24"/>
                <w:szCs w:val="24"/>
                <w:lang w:eastAsia="zh-CN"/>
              </w:rPr>
              <w:t>“</w:t>
            </w:r>
            <w:r>
              <w:rPr>
                <w:rFonts w:hint="eastAsia" w:ascii="Times New Roman" w:hAnsi="Times New Roman" w:eastAsia="宋体"/>
                <w:snapToGrid w:val="0"/>
                <w:color w:val="auto"/>
                <w:kern w:val="2"/>
                <w:sz w:val="24"/>
                <w:szCs w:val="24"/>
              </w:rPr>
              <w:t>二级活性炭吸附</w:t>
            </w:r>
            <w:r>
              <w:rPr>
                <w:rFonts w:hint="eastAsia" w:ascii="Times New Roman" w:hAnsi="Times New Roman" w:eastAsia="宋体"/>
                <w:snapToGrid w:val="0"/>
                <w:color w:val="auto"/>
                <w:kern w:val="2"/>
                <w:sz w:val="24"/>
                <w:szCs w:val="24"/>
                <w:lang w:eastAsia="zh-CN"/>
              </w:rPr>
              <w:t>”</w:t>
            </w:r>
            <w:r>
              <w:rPr>
                <w:rFonts w:hint="eastAsia" w:ascii="Times New Roman" w:hAnsi="Times New Roman" w:eastAsia="宋体"/>
                <w:snapToGrid w:val="0"/>
                <w:color w:val="auto"/>
                <w:kern w:val="2"/>
                <w:sz w:val="24"/>
                <w:szCs w:val="24"/>
              </w:rPr>
              <w:t>装置处理，最后通过车间外一根15m高的排气筒（DA003）高空排放，污染因子排放能够满足《工业涂装工序大气污染物排放标准》（DB33 2146-2018）中大气污染物排放要求限值及表6企业边界大气污染物浓度限值。</w:t>
            </w:r>
          </w:p>
          <w:p>
            <w:pPr>
              <w:widowControl w:val="0"/>
              <w:adjustRightInd/>
              <w:snapToGrid/>
              <w:spacing w:after="0" w:line="336" w:lineRule="auto"/>
              <w:ind w:firstLine="480" w:firstLineChars="200"/>
              <w:jc w:val="both"/>
              <w:rPr>
                <w:rFonts w:hint="eastAsia" w:ascii="Times New Roman" w:hAnsi="Times New Roman" w:eastAsia="宋体"/>
                <w:snapToGrid w:val="0"/>
                <w:color w:val="auto"/>
                <w:kern w:val="2"/>
                <w:sz w:val="24"/>
                <w:szCs w:val="24"/>
              </w:rPr>
            </w:pPr>
            <w:r>
              <w:rPr>
                <w:rFonts w:hint="eastAsia" w:ascii="Times New Roman" w:hAnsi="Times New Roman" w:eastAsia="宋体"/>
                <w:snapToGrid w:val="0"/>
                <w:color w:val="auto"/>
                <w:kern w:val="2"/>
                <w:sz w:val="24"/>
                <w:szCs w:val="24"/>
              </w:rPr>
              <w:t>另外天然气燃烧废气中各污染物排放浓度也符合相关标准要求，经排气筒（DA004）单独引出后高空排放，对周边环境影响较小。</w:t>
            </w:r>
          </w:p>
          <w:p>
            <w:pPr>
              <w:widowControl w:val="0"/>
              <w:adjustRightInd/>
              <w:snapToGrid/>
              <w:spacing w:after="0" w:line="336" w:lineRule="auto"/>
              <w:ind w:firstLine="480" w:firstLineChars="200"/>
              <w:jc w:val="both"/>
              <w:rPr>
                <w:rFonts w:ascii="Times New Roman" w:hAnsi="Times New Roman" w:eastAsia="宋体"/>
                <w:b/>
                <w:color w:val="auto"/>
                <w:kern w:val="2"/>
                <w:sz w:val="24"/>
                <w:szCs w:val="24"/>
              </w:rPr>
            </w:pPr>
            <w:r>
              <w:rPr>
                <w:rFonts w:hint="eastAsia" w:ascii="Times New Roman" w:hAnsi="Times New Roman" w:eastAsia="宋体"/>
                <w:snapToGrid w:val="0"/>
                <w:color w:val="auto"/>
                <w:kern w:val="2"/>
                <w:sz w:val="24"/>
                <w:szCs w:val="24"/>
              </w:rPr>
              <w:t>本项目在固化和浸漆与晾干过程均会有恶臭污染物产生，以臭气浓度表征，本项目针对固化废气和浸漆与晾干废气均采取了收集处理措施，异味气味主要弥散在车间内，对外环境影响较小，外排臭气浓度能符合相关限值要求。</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4.2废水</w:t>
            </w:r>
          </w:p>
          <w:p>
            <w:pPr>
              <w:widowControl w:val="0"/>
              <w:adjustRightInd/>
              <w:snapToGrid/>
              <w:spacing w:after="0" w:line="336" w:lineRule="auto"/>
              <w:ind w:firstLine="480" w:firstLineChars="200"/>
              <w:jc w:val="both"/>
              <w:rPr>
                <w:rFonts w:hint="eastAsia" w:ascii="Times New Roman" w:hAnsi="Times New Roman" w:eastAsia="宋体"/>
                <w:color w:val="auto"/>
                <w:kern w:val="2"/>
                <w:sz w:val="24"/>
                <w:szCs w:val="24"/>
              </w:rPr>
            </w:pPr>
            <w:r>
              <w:rPr>
                <w:rFonts w:hint="eastAsia" w:ascii="Times New Roman" w:hAnsi="Times New Roman" w:eastAsia="宋体"/>
                <w:color w:val="auto"/>
                <w:kern w:val="2"/>
                <w:sz w:val="24"/>
                <w:szCs w:val="24"/>
              </w:rPr>
              <w:t>本项目新增废水排放量为2207.1t/a，平均7.357t/d，占栎社净化水厂总处理能力的0.0043%，占比非常小，经厂区内污水处理站处理后能达到《污水综合排放标准》（GB8978-1996）中的三级标准，符合栎社净化水厂的进水水质要求。因此技改项目新增废水经处理达标后排入栎社净化水厂处理，不会对污水处理厂产生负荷冲击，本项目依托栎社净化水厂处理是可行的。</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4.3噪声</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本项目营运后对厂界的贡献值可满足《工业企业厂界环境噪声排放标准》（GB12348-2008）中3类昼间标准限值。本项目位于工业区内，项目周边无声环境保护目标。本项目设备噪声经隔声、降噪、距离衰减后能做到项目厂界噪声达标排放。</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4.4固废</w:t>
            </w: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olor w:val="auto"/>
                <w:kern w:val="2"/>
                <w:sz w:val="24"/>
                <w:szCs w:val="24"/>
              </w:rPr>
              <w:t>一般工业</w:t>
            </w:r>
            <w:r>
              <w:rPr>
                <w:rFonts w:ascii="Times New Roman" w:hAnsi="Times New Roman" w:eastAsia="宋体" w:cs="Times New Roman"/>
                <w:color w:val="auto"/>
                <w:kern w:val="2"/>
                <w:sz w:val="24"/>
                <w:szCs w:val="24"/>
              </w:rPr>
              <w:t>固废：</w:t>
            </w:r>
            <w:r>
              <w:rPr>
                <w:rFonts w:hint="eastAsia" w:ascii="Times New Roman" w:hAnsi="Times New Roman" w:eastAsia="宋体" w:cs="Times New Roman"/>
                <w:color w:val="auto"/>
                <w:kern w:val="2"/>
                <w:sz w:val="24"/>
                <w:szCs w:val="24"/>
                <w:lang w:val="en-US" w:eastAsia="zh-CN"/>
              </w:rPr>
              <w:t>S1/S6/S7</w:t>
            </w:r>
            <w:r>
              <w:rPr>
                <w:rFonts w:ascii="Times New Roman" w:hAnsi="Times New Roman" w:eastAsia="宋体" w:cs="Times New Roman"/>
                <w:color w:val="auto"/>
                <w:kern w:val="2"/>
                <w:sz w:val="24"/>
                <w:szCs w:val="24"/>
              </w:rPr>
              <w:t>废边角料、</w:t>
            </w:r>
            <w:r>
              <w:rPr>
                <w:rFonts w:hint="eastAsia" w:ascii="Times New Roman" w:hAnsi="Times New Roman" w:eastAsia="宋体" w:cs="Times New Roman"/>
                <w:color w:val="auto"/>
                <w:kern w:val="2"/>
                <w:sz w:val="24"/>
                <w:szCs w:val="24"/>
                <w:lang w:val="en-US" w:eastAsia="zh-CN"/>
              </w:rPr>
              <w:t>S4</w:t>
            </w:r>
            <w:r>
              <w:rPr>
                <w:rFonts w:ascii="Times New Roman" w:hAnsi="Times New Roman" w:eastAsia="宋体" w:cs="Times New Roman"/>
                <w:color w:val="auto"/>
                <w:kern w:val="2"/>
                <w:sz w:val="24"/>
                <w:szCs w:val="24"/>
              </w:rPr>
              <w:t>废</w:t>
            </w:r>
            <w:r>
              <w:rPr>
                <w:rFonts w:hint="eastAsia" w:ascii="Times New Roman" w:hAnsi="Times New Roman" w:eastAsia="宋体" w:cs="Times New Roman"/>
                <w:color w:val="auto"/>
                <w:kern w:val="2"/>
                <w:sz w:val="24"/>
                <w:szCs w:val="24"/>
                <w:lang w:val="en-US" w:eastAsia="zh-CN"/>
              </w:rPr>
              <w:t>塑粉</w:t>
            </w:r>
            <w:r>
              <w:rPr>
                <w:rFonts w:ascii="Times New Roman" w:hAnsi="Times New Roman" w:eastAsia="宋体" w:cs="Times New Roman"/>
                <w:color w:val="auto"/>
                <w:kern w:val="2"/>
                <w:sz w:val="24"/>
                <w:szCs w:val="24"/>
              </w:rPr>
              <w:t>、S12</w:t>
            </w:r>
            <w:r>
              <w:rPr>
                <w:rFonts w:hint="eastAsia" w:ascii="Times New Roman" w:hAnsi="Times New Roman" w:eastAsia="宋体" w:cs="Times New Roman"/>
                <w:color w:val="auto"/>
                <w:kern w:val="2"/>
                <w:sz w:val="24"/>
                <w:szCs w:val="24"/>
                <w:lang w:val="en-US" w:eastAsia="zh-CN"/>
              </w:rPr>
              <w:t>一般性包装材料、S8水性漆渣</w:t>
            </w:r>
            <w:r>
              <w:rPr>
                <w:rFonts w:ascii="Times New Roman" w:hAnsi="Times New Roman" w:eastAsia="宋体" w:cs="Times New Roman"/>
                <w:color w:val="auto"/>
                <w:kern w:val="2"/>
                <w:sz w:val="24"/>
                <w:szCs w:val="24"/>
              </w:rPr>
              <w:t>存于一般工业固废暂存间，交由回收单位综合利用。</w:t>
            </w:r>
          </w:p>
          <w:p>
            <w:pPr>
              <w:widowControl w:val="0"/>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危险废物：S2</w:t>
            </w:r>
            <w:r>
              <w:rPr>
                <w:rFonts w:hint="eastAsia" w:ascii="Times New Roman" w:hAnsi="Times New Roman" w:eastAsia="宋体" w:cs="Times New Roman"/>
                <w:color w:val="auto"/>
                <w:kern w:val="2"/>
                <w:sz w:val="24"/>
                <w:szCs w:val="24"/>
                <w:lang w:val="en-US" w:eastAsia="zh-CN"/>
              </w:rPr>
              <w:t>槽渣</w:t>
            </w:r>
            <w:r>
              <w:rPr>
                <w:rFonts w:ascii="Times New Roman" w:hAnsi="Times New Roman" w:eastAsia="宋体" w:cs="Times New Roman"/>
                <w:color w:val="auto"/>
                <w:kern w:val="2"/>
                <w:sz w:val="24"/>
                <w:szCs w:val="24"/>
              </w:rPr>
              <w:t>、S3</w:t>
            </w:r>
            <w:r>
              <w:rPr>
                <w:rFonts w:hint="eastAsia" w:ascii="Times New Roman" w:hAnsi="Times New Roman" w:eastAsia="宋体" w:cs="Times New Roman"/>
                <w:color w:val="auto"/>
                <w:kern w:val="2"/>
                <w:sz w:val="24"/>
                <w:szCs w:val="24"/>
                <w:lang w:val="en-US" w:eastAsia="zh-CN"/>
              </w:rPr>
              <w:t>废槽液（酸洗磷化）</w:t>
            </w:r>
            <w:r>
              <w:rPr>
                <w:rFonts w:ascii="Times New Roman" w:hAnsi="Times New Roman" w:eastAsia="宋体" w:cs="Times New Roman"/>
                <w:color w:val="auto"/>
                <w:kern w:val="2"/>
                <w:sz w:val="24"/>
                <w:szCs w:val="24"/>
              </w:rPr>
              <w:t>、S5</w:t>
            </w:r>
            <w:r>
              <w:rPr>
                <w:rFonts w:hint="eastAsia" w:ascii="Times New Roman" w:hAnsi="Times New Roman" w:eastAsia="宋体" w:cs="Times New Roman"/>
                <w:color w:val="auto"/>
                <w:kern w:val="2"/>
                <w:sz w:val="24"/>
                <w:szCs w:val="24"/>
                <w:lang w:val="en-US" w:eastAsia="zh-CN"/>
              </w:rPr>
              <w:t>废槽液（硅烷化）</w:t>
            </w:r>
            <w:r>
              <w:rPr>
                <w:rFonts w:ascii="Times New Roman" w:hAnsi="Times New Roman" w:eastAsia="宋体" w:cs="Times New Roman"/>
                <w:color w:val="auto"/>
                <w:kern w:val="2"/>
                <w:sz w:val="24"/>
                <w:szCs w:val="24"/>
              </w:rPr>
              <w:t>、S9污泥、S10废</w:t>
            </w:r>
            <w:r>
              <w:rPr>
                <w:rFonts w:hint="eastAsia" w:ascii="Times New Roman" w:hAnsi="Times New Roman" w:eastAsia="宋体" w:cs="Times New Roman"/>
                <w:color w:val="auto"/>
                <w:kern w:val="2"/>
                <w:sz w:val="24"/>
                <w:szCs w:val="24"/>
                <w:lang w:val="en-US" w:eastAsia="zh-CN"/>
              </w:rPr>
              <w:t>活性炭</w:t>
            </w:r>
            <w:r>
              <w:rPr>
                <w:rFonts w:ascii="Times New Roman" w:hAnsi="Times New Roman" w:eastAsia="宋体" w:cs="Times New Roman"/>
                <w:color w:val="auto"/>
                <w:kern w:val="2"/>
                <w:sz w:val="24"/>
                <w:szCs w:val="24"/>
              </w:rPr>
              <w:t>、S1</w:t>
            </w:r>
            <w:r>
              <w:rPr>
                <w:rFonts w:hint="eastAsia" w:ascii="Times New Roman" w:hAnsi="Times New Roman" w:eastAsia="宋体" w:cs="Times New Roman"/>
                <w:color w:val="auto"/>
                <w:kern w:val="2"/>
                <w:sz w:val="24"/>
                <w:szCs w:val="24"/>
                <w:lang w:val="en-US" w:eastAsia="zh-CN"/>
              </w:rPr>
              <w:t>1废桶</w:t>
            </w:r>
            <w:r>
              <w:rPr>
                <w:rFonts w:ascii="Times New Roman" w:hAnsi="Times New Roman" w:eastAsia="宋体" w:cs="Times New Roman"/>
                <w:color w:val="auto"/>
                <w:kern w:val="2"/>
                <w:sz w:val="24"/>
                <w:szCs w:val="24"/>
              </w:rPr>
              <w:t>暂存于危废暂存库，交由有资质单位处置。</w:t>
            </w:r>
          </w:p>
          <w:p>
            <w:pPr>
              <w:widowControl w:val="0"/>
              <w:adjustRightInd/>
              <w:snapToGrid/>
              <w:spacing w:after="0" w:line="336" w:lineRule="auto"/>
              <w:ind w:firstLine="420" w:firstLineChars="200"/>
              <w:jc w:val="both"/>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2" w:hRule="atLeast"/>
          <w:jc w:val="center"/>
        </w:trPr>
        <w:tc>
          <w:tcPr>
            <w:tcW w:w="5000" w:type="pct"/>
            <w:noWrap w:val="0"/>
            <w:vAlign w:val="top"/>
          </w:tcPr>
          <w:p>
            <w:pPr>
              <w:adjustRightInd/>
              <w:snapToGrid/>
              <w:spacing w:after="0" w:line="336" w:lineRule="auto"/>
              <w:jc w:val="both"/>
              <w:rPr>
                <w:rFonts w:hint="eastAsia" w:ascii="Times New Roman" w:hAnsi="Times New Roman" w:eastAsia="宋体"/>
                <w:b/>
                <w:bCs/>
                <w:color w:val="auto"/>
                <w:sz w:val="24"/>
                <w:szCs w:val="24"/>
                <w:lang w:eastAsia="zh-CN"/>
              </w:rPr>
            </w:pPr>
            <w:r>
              <w:rPr>
                <w:rFonts w:ascii="Times New Roman" w:hAnsi="Times New Roman" w:eastAsia="宋体"/>
                <w:b/>
                <w:bCs/>
                <w:color w:val="auto"/>
                <w:sz w:val="24"/>
                <w:szCs w:val="24"/>
              </w:rPr>
              <w:t>各级环境保护行政主管部门的备案意见</w:t>
            </w:r>
            <w:r>
              <w:rPr>
                <w:rFonts w:hint="eastAsia" w:ascii="Times New Roman" w:hAnsi="Times New Roman" w:eastAsia="宋体"/>
                <w:b/>
                <w:bCs/>
                <w:color w:val="auto"/>
                <w:sz w:val="24"/>
                <w:szCs w:val="24"/>
                <w:lang w:eastAsia="zh-CN"/>
              </w:rPr>
              <w:t>（</w:t>
            </w:r>
            <w:r>
              <w:rPr>
                <w:rFonts w:ascii="Times New Roman" w:hAnsi="Times New Roman" w:eastAsia="宋体"/>
                <w:b/>
                <w:bCs/>
                <w:color w:val="auto"/>
                <w:sz w:val="24"/>
                <w:szCs w:val="24"/>
              </w:rPr>
              <w:t>国家、省、行业</w:t>
            </w:r>
            <w:r>
              <w:rPr>
                <w:rFonts w:hint="eastAsia" w:ascii="Times New Roman" w:hAnsi="Times New Roman" w:eastAsia="宋体"/>
                <w:b/>
                <w:bCs/>
                <w:color w:val="auto"/>
                <w:sz w:val="24"/>
                <w:szCs w:val="24"/>
                <w:lang w:eastAsia="zh-CN"/>
              </w:rPr>
              <w:t>）</w:t>
            </w:r>
          </w:p>
          <w:p>
            <w:pPr>
              <w:widowControl w:val="0"/>
              <w:adjustRightInd/>
              <w:snapToGrid/>
              <w:spacing w:after="0" w:line="336" w:lineRule="auto"/>
              <w:jc w:val="both"/>
              <w:rPr>
                <w:rFonts w:hint="eastAsia" w:ascii="Times New Roman" w:hAnsi="Times New Roman" w:eastAsia="宋体"/>
                <w:bCs/>
                <w:color w:val="auto"/>
                <w:kern w:val="2"/>
                <w:sz w:val="24"/>
                <w:szCs w:val="24"/>
                <w:lang w:eastAsia="zh-CN"/>
              </w:rPr>
            </w:pPr>
            <w:r>
              <w:rPr>
                <w:rFonts w:hint="eastAsia" w:ascii="Times New Roman" w:hAnsi="Times New Roman" w:eastAsia="宋体"/>
                <w:b/>
                <w:bCs w:val="0"/>
                <w:color w:val="auto"/>
                <w:kern w:val="2"/>
                <w:sz w:val="24"/>
                <w:szCs w:val="24"/>
                <w:lang w:eastAsia="zh-CN"/>
              </w:rPr>
              <w:t>项目名称：</w:t>
            </w:r>
            <w:r>
              <w:rPr>
                <w:rFonts w:hint="eastAsia" w:ascii="Times New Roman" w:hAnsi="Times New Roman" w:eastAsia="宋体"/>
                <w:bCs/>
                <w:color w:val="auto"/>
                <w:kern w:val="2"/>
                <w:sz w:val="24"/>
                <w:szCs w:val="24"/>
                <w:lang w:eastAsia="zh-CN"/>
              </w:rPr>
              <w:t>年产10万台电机生产线技改项目</w:t>
            </w:r>
          </w:p>
          <w:p>
            <w:pPr>
              <w:widowControl w:val="0"/>
              <w:adjustRightInd/>
              <w:snapToGrid/>
              <w:spacing w:after="0" w:line="336" w:lineRule="auto"/>
              <w:jc w:val="both"/>
              <w:rPr>
                <w:rFonts w:hint="eastAsia" w:ascii="Times New Roman" w:hAnsi="Times New Roman" w:eastAsia="宋体"/>
                <w:bCs/>
                <w:color w:val="auto"/>
                <w:kern w:val="2"/>
                <w:sz w:val="24"/>
                <w:szCs w:val="24"/>
                <w:lang w:eastAsia="zh-CN"/>
              </w:rPr>
            </w:pPr>
            <w:r>
              <w:rPr>
                <w:rFonts w:hint="eastAsia" w:ascii="Times New Roman" w:hAnsi="Times New Roman" w:eastAsia="宋体"/>
                <w:b/>
                <w:bCs w:val="0"/>
                <w:color w:val="auto"/>
                <w:kern w:val="2"/>
                <w:sz w:val="24"/>
                <w:szCs w:val="24"/>
                <w:lang w:eastAsia="zh-CN"/>
              </w:rPr>
              <w:t>项目地址：</w:t>
            </w:r>
            <w:r>
              <w:rPr>
                <w:rFonts w:hint="eastAsia" w:ascii="Times New Roman" w:hAnsi="Times New Roman" w:eastAsia="宋体"/>
                <w:bCs/>
                <w:color w:val="auto"/>
                <w:kern w:val="2"/>
                <w:sz w:val="24"/>
                <w:szCs w:val="24"/>
                <w:lang w:eastAsia="zh-CN"/>
              </w:rPr>
              <w:t>宁波市海曙区洞桥镇工业园区</w:t>
            </w:r>
          </w:p>
          <w:p>
            <w:pPr>
              <w:widowControl w:val="0"/>
              <w:adjustRightInd/>
              <w:snapToGrid/>
              <w:spacing w:after="0" w:line="336" w:lineRule="auto"/>
              <w:jc w:val="both"/>
              <w:rPr>
                <w:rFonts w:hint="eastAsia" w:ascii="Times New Roman" w:hAnsi="Times New Roman" w:eastAsia="宋体"/>
                <w:bCs/>
                <w:color w:val="auto"/>
                <w:kern w:val="2"/>
                <w:sz w:val="24"/>
                <w:szCs w:val="24"/>
                <w:lang w:eastAsia="zh-CN"/>
              </w:rPr>
            </w:pPr>
            <w:r>
              <w:rPr>
                <w:rFonts w:hint="eastAsia" w:ascii="Times New Roman" w:hAnsi="Times New Roman" w:eastAsia="宋体"/>
                <w:b/>
                <w:bCs w:val="0"/>
                <w:color w:val="auto"/>
                <w:kern w:val="2"/>
                <w:sz w:val="24"/>
                <w:szCs w:val="24"/>
                <w:lang w:eastAsia="zh-CN"/>
              </w:rPr>
              <w:t>建设单位：</w:t>
            </w:r>
            <w:r>
              <w:rPr>
                <w:rFonts w:hint="eastAsia" w:ascii="Times New Roman" w:hAnsi="Times New Roman" w:eastAsia="宋体"/>
                <w:bCs/>
                <w:color w:val="auto"/>
                <w:kern w:val="2"/>
                <w:sz w:val="24"/>
                <w:szCs w:val="24"/>
                <w:lang w:eastAsia="zh-CN"/>
              </w:rPr>
              <w:t>宁波莱堡制冷设备有限公司</w:t>
            </w:r>
          </w:p>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eastAsia="zh-CN"/>
              </w:rPr>
            </w:pPr>
            <w:r>
              <w:rPr>
                <w:rFonts w:hint="eastAsia" w:ascii="Times New Roman" w:hAnsi="Times New Roman" w:eastAsia="宋体"/>
                <w:bCs/>
                <w:color w:val="auto"/>
                <w:kern w:val="2"/>
                <w:sz w:val="24"/>
                <w:szCs w:val="24"/>
              </w:rPr>
              <w:t>根据《年产10万台电机生产线技改项目环境影响报告表》</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rPr>
              <w:t>以下简称《报告表》</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rPr>
              <w:t>以及本项目环评行政许可公示意见反馈情况，在符合国土规划、产业政策、宁波市</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rPr>
              <w:t>三线一单</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rPr>
              <w:t>生态环境分区管控方案等前提下，原则同意宁波莱堡制冷设备有限公司按《报告表》的内容在宁波市海曙区洞桥镇工业园区进行年产10万台电机生产线技改项目建设。项目总投资200万元，占地面积16656.6平米，主要从事电机的生产加工。为切实保护环境，确保项目的顺利进行，应重点做好以下工作</w:t>
            </w:r>
            <w:r>
              <w:rPr>
                <w:rFonts w:hint="eastAsia" w:ascii="Times New Roman" w:hAnsi="Times New Roman" w:eastAsia="宋体"/>
                <w:bCs/>
                <w:color w:val="auto"/>
                <w:kern w:val="2"/>
                <w:sz w:val="24"/>
                <w:szCs w:val="24"/>
                <w:lang w:eastAsia="zh-CN"/>
              </w:rPr>
              <w:t>：</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一、废气防治要求</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加强废气的收集治理，酸洗废气经集气罩收集，再经二级碱液喷淋塔装置处理后，通过15m高排气筒（DA001）排放，硫酸雾、化氢排放标准执行执行《大气污染物综合排放标准》（GB16297-1996）表2中的二级标准；喷塑粉尘经吸风装置+滤网捕集后与固化废气一并通过15m高排气筒（DA002）排放，</w:t>
            </w:r>
            <w:r>
              <w:rPr>
                <w:rFonts w:hint="eastAsia" w:ascii="Times New Roman" w:hAnsi="Times New Roman" w:eastAsia="宋体" w:cs="Times New Roman"/>
                <w:bCs/>
                <w:color w:val="auto"/>
                <w:kern w:val="2"/>
                <w:sz w:val="24"/>
                <w:szCs w:val="24"/>
                <w:lang w:val="en-US" w:eastAsia="zh-CN"/>
              </w:rPr>
              <w:t>浸漆</w:t>
            </w:r>
            <w:r>
              <w:rPr>
                <w:rFonts w:hint="eastAsia" w:ascii="Times New Roman" w:hAnsi="Times New Roman" w:eastAsia="宋体" w:cs="Times New Roman"/>
                <w:bCs/>
                <w:color w:val="auto"/>
                <w:kern w:val="2"/>
                <w:sz w:val="24"/>
                <w:szCs w:val="24"/>
                <w:lang w:eastAsia="zh-CN"/>
              </w:rPr>
              <w:t>及</w:t>
            </w:r>
            <w:r>
              <w:rPr>
                <w:rFonts w:hint="eastAsia" w:ascii="Times New Roman" w:hAnsi="Times New Roman" w:eastAsia="宋体" w:cs="Times New Roman"/>
                <w:bCs/>
                <w:color w:val="auto"/>
                <w:kern w:val="2"/>
                <w:sz w:val="24"/>
                <w:szCs w:val="24"/>
                <w:lang w:val="en-US" w:eastAsia="zh-CN"/>
              </w:rPr>
              <w:t>晾干</w:t>
            </w:r>
            <w:r>
              <w:rPr>
                <w:rFonts w:hint="eastAsia" w:ascii="Times New Roman" w:hAnsi="Times New Roman" w:eastAsia="宋体" w:cs="Times New Roman"/>
                <w:bCs/>
                <w:color w:val="auto"/>
                <w:kern w:val="2"/>
                <w:sz w:val="24"/>
                <w:szCs w:val="24"/>
                <w:lang w:eastAsia="zh-CN"/>
              </w:rPr>
              <w:t>废气经集气罩收集，再经二级活性炭吸附装置处理后，通过15m高排气筒（DA003）排放，颗粒物、非甲烷总烃排放标准执行《工业涂装工序大气污染物排放标准》（DB33 2146-2018）中表1.大气污染物排放限值；厂界喷塑、固化、浸漆、晾干废气颗粒物、非甲烷总烃无组织排放标准执行《工业涂装工序大气污染物排放标准》（DB33 2146-2018）中表6.企业边界大气污染物浓度限值，气枪吹尘废气颗粒物无组织排放执行《大气污染物综合排放标准》（GB16297-1996）表2中的无组织排放限值要求；厂区内非甲烷总烃无组织排放限值执行《挥发性有机物无组织排放控制标准》（GB37822-2019）中“表A.1 厂区内V0Cs无组织排放限值”；根据《工业炉窑大气污染综合治理方案》的通知（环大气[2019]56号）要求，天然气燃烧废气中颗粒物、二氧化硫、氮氧化物排放限值分别不高于30mg/m</w:t>
            </w:r>
            <w:r>
              <w:rPr>
                <w:rFonts w:hint="eastAsia" w:ascii="Times New Roman" w:hAnsi="Times New Roman" w:eastAsia="宋体" w:cs="Times New Roman"/>
                <w:bCs/>
                <w:color w:val="auto"/>
                <w:kern w:val="2"/>
                <w:sz w:val="24"/>
                <w:szCs w:val="24"/>
                <w:vertAlign w:val="superscript"/>
                <w:lang w:val="en-US" w:eastAsia="zh-CN"/>
              </w:rPr>
              <w:t>3</w:t>
            </w:r>
            <w:r>
              <w:rPr>
                <w:rFonts w:hint="eastAsia" w:ascii="Times New Roman" w:hAnsi="Times New Roman" w:eastAsia="宋体" w:cs="Times New Roman"/>
                <w:bCs/>
                <w:color w:val="auto"/>
                <w:kern w:val="2"/>
                <w:sz w:val="24"/>
                <w:szCs w:val="24"/>
                <w:lang w:eastAsia="zh-CN"/>
              </w:rPr>
              <w:t>、200mg/m</w:t>
            </w:r>
            <w:r>
              <w:rPr>
                <w:rFonts w:hint="eastAsia" w:ascii="Times New Roman" w:hAnsi="Times New Roman" w:eastAsia="宋体" w:cs="Times New Roman"/>
                <w:bCs/>
                <w:color w:val="auto"/>
                <w:kern w:val="2"/>
                <w:sz w:val="24"/>
                <w:szCs w:val="24"/>
                <w:vertAlign w:val="superscript"/>
                <w:lang w:val="en-US" w:eastAsia="zh-CN"/>
              </w:rPr>
              <w:t>3</w:t>
            </w:r>
            <w:r>
              <w:rPr>
                <w:rFonts w:hint="eastAsia" w:ascii="Times New Roman" w:hAnsi="Times New Roman" w:eastAsia="宋体" w:cs="Times New Roman"/>
                <w:bCs/>
                <w:color w:val="auto"/>
                <w:kern w:val="2"/>
                <w:sz w:val="24"/>
                <w:szCs w:val="24"/>
                <w:lang w:eastAsia="zh-CN"/>
              </w:rPr>
              <w:t>、300mg/m</w:t>
            </w:r>
            <w:r>
              <w:rPr>
                <w:rFonts w:hint="eastAsia" w:ascii="Times New Roman" w:hAnsi="Times New Roman" w:eastAsia="宋体" w:cs="Times New Roman"/>
                <w:bCs/>
                <w:color w:val="auto"/>
                <w:kern w:val="2"/>
                <w:sz w:val="24"/>
                <w:szCs w:val="24"/>
                <w:vertAlign w:val="superscript"/>
                <w:lang w:val="en-US" w:eastAsia="zh-CN"/>
              </w:rPr>
              <w:t>3</w:t>
            </w:r>
            <w:r>
              <w:rPr>
                <w:rFonts w:hint="eastAsia" w:ascii="Times New Roman" w:hAnsi="Times New Roman" w:eastAsia="宋体" w:cs="Times New Roman"/>
                <w:bCs/>
                <w:color w:val="auto"/>
                <w:kern w:val="2"/>
                <w:sz w:val="24"/>
                <w:szCs w:val="24"/>
                <w:lang w:eastAsia="zh-CN"/>
              </w:rPr>
              <w:t>进行日常管控。</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二、废水防治要求</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技改项目新增的硅烷化、超声波清洗废水以及酸洗磷化废水纳管后方可运营；纳管后生产废水经厂内自建废水处理站（TW001）处理达标后排入市政污水管网。污染物排放执行《污水综合排放标准》（GB8978-1996）中的三级标准，其中氨氮、总磷排放标准执行《工业企业废水氮、磷污染物排放限值》（DB331887-2013），总铁排放执行浙江省地方标准《酸洗废水排放总铁浓度限值》（DB33/844-2011）二级标准，总氮排放执行《污水排入城镇下水道水质标准》GB/T31962-2015）B级标准。</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三、噪声防治要求</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厂界噪声排放执行《工业企业厂界环境噪声排放标准》GB12348-2008）中的3类标准。</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四、固废防治要求</w:t>
            </w:r>
          </w:p>
          <w:p>
            <w:pPr>
              <w:widowControl w:val="0"/>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固废分类收集分类存放，一般固废落实好防渗漏防雨淋措施，及时委托处置或外售；危险固废分类收集规范暂存，定期委托有资质单位处理，并执行转移联单制度。</w:t>
            </w:r>
          </w:p>
          <w:p>
            <w:pPr>
              <w:widowControl w:val="0"/>
              <w:numPr>
                <w:ilvl w:val="0"/>
                <w:numId w:val="1"/>
              </w:numPr>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严格按照《报告表》要求落实风险事故防范对策措施。</w:t>
            </w:r>
          </w:p>
          <w:p>
            <w:pPr>
              <w:widowControl w:val="0"/>
              <w:numPr>
                <w:ilvl w:val="0"/>
                <w:numId w:val="1"/>
              </w:numPr>
              <w:adjustRightInd/>
              <w:snapToGrid/>
              <w:spacing w:after="0" w:line="336" w:lineRule="auto"/>
              <w:ind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你单位为《固定污染源排污许可分类管理名录（2019年版）》中实施简化管理的排污单位，应当按照排污许可的相关规定完成排污许可证申领工作。</w:t>
            </w:r>
          </w:p>
          <w:p>
            <w:pPr>
              <w:widowControl w:val="0"/>
              <w:numPr>
                <w:ilvl w:val="0"/>
                <w:numId w:val="1"/>
              </w:numPr>
              <w:adjustRightInd/>
              <w:snapToGrid/>
              <w:spacing w:after="0" w:line="336" w:lineRule="auto"/>
              <w:ind w:left="0" w:leftChars="0"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今后项目规模如有扩大或重大技术变革须另行报批。</w:t>
            </w:r>
          </w:p>
          <w:p>
            <w:pPr>
              <w:widowControl w:val="0"/>
              <w:numPr>
                <w:ilvl w:val="0"/>
                <w:numId w:val="1"/>
              </w:numPr>
              <w:adjustRightInd/>
              <w:snapToGrid/>
              <w:spacing w:after="0" w:line="336" w:lineRule="auto"/>
              <w:ind w:left="0" w:leftChars="0" w:firstLine="480" w:firstLineChars="200"/>
              <w:jc w:val="both"/>
              <w:rPr>
                <w:rFonts w:hint="eastAsia" w:ascii="Times New Roman" w:hAnsi="Times New Roman" w:eastAsia="宋体" w:cs="Times New Roman"/>
                <w:bCs/>
                <w:color w:val="auto"/>
                <w:kern w:val="2"/>
                <w:sz w:val="24"/>
                <w:szCs w:val="24"/>
                <w:lang w:eastAsia="zh-CN"/>
              </w:rPr>
            </w:pPr>
            <w:r>
              <w:rPr>
                <w:rFonts w:hint="eastAsia" w:ascii="Times New Roman" w:hAnsi="Times New Roman" w:eastAsia="宋体" w:cs="Times New Roman"/>
                <w:bCs/>
                <w:color w:val="auto"/>
                <w:kern w:val="2"/>
                <w:sz w:val="24"/>
                <w:szCs w:val="24"/>
                <w:lang w:eastAsia="zh-CN"/>
              </w:rPr>
              <w:t>本项目应严格执行环保“三同时”制度，项目竣工后按相关要求做好环境保护竣工验收工作。</w:t>
            </w:r>
          </w:p>
          <w:p>
            <w:pPr>
              <w:pStyle w:val="17"/>
            </w:pPr>
          </w:p>
          <w:p>
            <w:pPr>
              <w:widowControl w:val="0"/>
              <w:adjustRightInd/>
              <w:snapToGrid/>
              <w:spacing w:after="0" w:line="336" w:lineRule="auto"/>
              <w:jc w:val="right"/>
              <w:rPr>
                <w:rFonts w:hint="default" w:ascii="Times New Roman" w:hAnsi="Times New Roman" w:eastAsia="宋体"/>
                <w:bCs/>
                <w:color w:val="auto"/>
                <w:kern w:val="2"/>
                <w:sz w:val="24"/>
                <w:szCs w:val="24"/>
                <w:lang w:val="en-US" w:eastAsia="zh-CN"/>
              </w:rPr>
            </w:pPr>
            <w:r>
              <w:rPr>
                <w:rFonts w:ascii="Times New Roman" w:hAnsi="Times New Roman" w:eastAsia="宋体"/>
                <w:bCs/>
                <w:color w:val="auto"/>
                <w:kern w:val="2"/>
                <w:sz w:val="24"/>
                <w:szCs w:val="24"/>
              </w:rPr>
              <w:t>宁波市生态环境局</w:t>
            </w:r>
            <w:r>
              <w:rPr>
                <w:rFonts w:hint="eastAsia" w:ascii="Times New Roman" w:hAnsi="Times New Roman" w:eastAsia="宋体"/>
                <w:bCs/>
                <w:color w:val="auto"/>
                <w:kern w:val="2"/>
                <w:sz w:val="24"/>
                <w:szCs w:val="24"/>
                <w:lang w:val="en-US" w:eastAsia="zh-CN"/>
              </w:rPr>
              <w:t>海曙分局</w:t>
            </w:r>
          </w:p>
          <w:p>
            <w:pPr>
              <w:widowControl w:val="0"/>
              <w:adjustRightInd/>
              <w:snapToGrid/>
              <w:spacing w:after="0" w:line="336" w:lineRule="auto"/>
              <w:jc w:val="right"/>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202</w:t>
            </w:r>
            <w:r>
              <w:rPr>
                <w:rFonts w:hint="eastAsia" w:ascii="Times New Roman" w:hAnsi="Times New Roman" w:eastAsia="宋体"/>
                <w:bCs/>
                <w:color w:val="auto"/>
                <w:kern w:val="2"/>
                <w:sz w:val="24"/>
                <w:szCs w:val="24"/>
                <w:lang w:val="en-US" w:eastAsia="zh-CN"/>
              </w:rPr>
              <w:t>3</w:t>
            </w:r>
            <w:r>
              <w:rPr>
                <w:rFonts w:ascii="Times New Roman" w:hAnsi="Times New Roman" w:eastAsia="宋体"/>
                <w:bCs/>
                <w:color w:val="auto"/>
                <w:kern w:val="2"/>
                <w:sz w:val="24"/>
                <w:szCs w:val="24"/>
              </w:rPr>
              <w:t>年</w:t>
            </w:r>
            <w:r>
              <w:rPr>
                <w:rFonts w:hint="eastAsia" w:ascii="Times New Roman" w:hAnsi="Times New Roman" w:eastAsia="宋体"/>
                <w:bCs/>
                <w:color w:val="auto"/>
                <w:kern w:val="2"/>
                <w:sz w:val="24"/>
                <w:szCs w:val="24"/>
                <w:lang w:val="en-US" w:eastAsia="zh-CN"/>
              </w:rPr>
              <w:t>1</w:t>
            </w:r>
            <w:r>
              <w:rPr>
                <w:rFonts w:ascii="Times New Roman" w:hAnsi="Times New Roman" w:eastAsia="宋体"/>
                <w:bCs/>
                <w:color w:val="auto"/>
                <w:kern w:val="2"/>
                <w:sz w:val="24"/>
                <w:szCs w:val="24"/>
              </w:rPr>
              <w:t>月</w:t>
            </w:r>
            <w:r>
              <w:rPr>
                <w:rFonts w:hint="eastAsia" w:ascii="Times New Roman" w:hAnsi="Times New Roman" w:eastAsia="宋体"/>
                <w:bCs/>
                <w:color w:val="auto"/>
                <w:kern w:val="2"/>
                <w:sz w:val="24"/>
                <w:szCs w:val="24"/>
                <w:lang w:val="en-US" w:eastAsia="zh-CN"/>
              </w:rPr>
              <w:t>20</w:t>
            </w:r>
            <w:r>
              <w:rPr>
                <w:rFonts w:ascii="Times New Roman" w:hAnsi="Times New Roman" w:eastAsia="宋体"/>
                <w:bCs/>
                <w:color w:val="auto"/>
                <w:kern w:val="2"/>
                <w:sz w:val="24"/>
                <w:szCs w:val="24"/>
              </w:rPr>
              <w:t>日</w:t>
            </w:r>
          </w:p>
          <w:p>
            <w:pPr>
              <w:widowControl w:val="0"/>
              <w:adjustRightInd/>
              <w:snapToGrid/>
              <w:spacing w:after="0" w:line="360" w:lineRule="auto"/>
              <w:jc w:val="right"/>
              <w:rPr>
                <w:rFonts w:ascii="Times New Roman" w:hAnsi="Times New Roman" w:eastAsia="宋体"/>
                <w:bCs/>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2" w:hRule="atLeast"/>
          <w:jc w:val="center"/>
        </w:trPr>
        <w:tc>
          <w:tcPr>
            <w:tcW w:w="5000" w:type="pct"/>
            <w:tcBorders>
              <w:bottom w:val="single" w:color="000000" w:sz="4" w:space="0"/>
            </w:tcBorders>
            <w:noWrap w:val="0"/>
            <w:vAlign w:val="top"/>
          </w:tcPr>
          <w:p>
            <w:pPr>
              <w:adjustRightInd/>
              <w:snapToGrid/>
              <w:spacing w:after="0" w:line="336" w:lineRule="auto"/>
              <w:jc w:val="both"/>
              <w:rPr>
                <w:rFonts w:ascii="Times New Roman" w:hAnsi="Times New Roman" w:eastAsia="宋体"/>
                <w:b/>
                <w:bCs/>
                <w:color w:val="auto"/>
                <w:sz w:val="24"/>
                <w:szCs w:val="24"/>
              </w:rPr>
            </w:pPr>
            <w:r>
              <w:rPr>
                <w:rFonts w:ascii="Times New Roman" w:hAnsi="Times New Roman" w:eastAsia="宋体"/>
                <w:b/>
                <w:bCs/>
                <w:color w:val="auto"/>
                <w:sz w:val="24"/>
                <w:szCs w:val="24"/>
              </w:rPr>
              <w:t>项目环评及环评批复落实情况</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本项目实际建设内容与环评批复落实情况见表</w:t>
            </w:r>
            <w:r>
              <w:rPr>
                <w:rFonts w:hint="eastAsia" w:ascii="Times New Roman" w:hAnsi="Times New Roman" w:eastAsia="宋体"/>
                <w:bCs/>
                <w:color w:val="auto"/>
                <w:kern w:val="2"/>
                <w:sz w:val="24"/>
                <w:szCs w:val="24"/>
              </w:rPr>
              <w:t>4-1</w:t>
            </w:r>
            <w:r>
              <w:rPr>
                <w:rFonts w:ascii="Times New Roman" w:hAnsi="Times New Roman" w:eastAsia="宋体"/>
                <w:bCs/>
                <w:color w:val="auto"/>
                <w:kern w:val="2"/>
                <w:sz w:val="24"/>
                <w:szCs w:val="24"/>
              </w:rPr>
              <w:t>：</w:t>
            </w:r>
          </w:p>
          <w:p>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表4-1项目环评批复落实情况</w:t>
            </w:r>
          </w:p>
          <w:tbl>
            <w:tblPr>
              <w:tblStyle w:val="1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4420"/>
              <w:gridCol w:w="2830"/>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内容</w:t>
                  </w:r>
                </w:p>
              </w:tc>
              <w:tc>
                <w:tcPr>
                  <w:tcW w:w="4420"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环评设计内容</w:t>
                  </w:r>
                </w:p>
              </w:tc>
              <w:tc>
                <w:tcPr>
                  <w:tcW w:w="263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实际落实情况</w:t>
                  </w:r>
                </w:p>
              </w:tc>
              <w:tc>
                <w:tcPr>
                  <w:tcW w:w="751"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项目建设规模</w:t>
                  </w:r>
                </w:p>
              </w:tc>
              <w:tc>
                <w:tcPr>
                  <w:tcW w:w="4420" w:type="dxa"/>
                  <w:noWrap w:val="0"/>
                  <w:vAlign w:val="center"/>
                </w:tcPr>
                <w:p>
                  <w:pPr>
                    <w:widowControl w:val="0"/>
                    <w:adjustRightInd/>
                    <w:snapToGrid/>
                    <w:spacing w:after="0"/>
                    <w:jc w:val="both"/>
                    <w:rPr>
                      <w:rFonts w:hint="eastAsia" w:ascii="Times New Roman" w:hAnsi="Times New Roman" w:eastAsia="宋体"/>
                      <w:bCs/>
                      <w:color w:val="auto"/>
                      <w:kern w:val="2"/>
                      <w:sz w:val="21"/>
                      <w:szCs w:val="21"/>
                      <w:lang w:eastAsia="zh-CN"/>
                    </w:rPr>
                  </w:pPr>
                  <w:r>
                    <w:rPr>
                      <w:rFonts w:ascii="Times New Roman" w:hAnsi="Times New Roman" w:eastAsia="宋体"/>
                      <w:bCs/>
                      <w:color w:val="auto"/>
                      <w:kern w:val="2"/>
                      <w:sz w:val="21"/>
                      <w:szCs w:val="21"/>
                    </w:rPr>
                    <w:t>该项目选</w:t>
                  </w:r>
                  <w:r>
                    <w:rPr>
                      <w:rFonts w:hint="eastAsia" w:ascii="Times New Roman" w:hAnsi="Times New Roman" w:eastAsia="宋体" w:cs="Times New Roman"/>
                      <w:bCs/>
                      <w:color w:val="auto"/>
                      <w:kern w:val="2"/>
                      <w:sz w:val="21"/>
                      <w:szCs w:val="21"/>
                    </w:rPr>
                    <w:t>址于宁波市海曙区洞桥镇工业园区，</w:t>
                  </w:r>
                  <w:r>
                    <w:rPr>
                      <w:rFonts w:hint="eastAsia" w:ascii="Times New Roman" w:hAnsi="Times New Roman" w:eastAsia="宋体" w:cs="Times New Roman"/>
                      <w:bCs/>
                      <w:color w:val="auto"/>
                      <w:kern w:val="2"/>
                      <w:sz w:val="21"/>
                      <w:szCs w:val="21"/>
                      <w:lang w:val="en-US" w:eastAsia="zh-CN"/>
                    </w:rPr>
                    <w:t>占地</w:t>
                  </w:r>
                  <w:r>
                    <w:rPr>
                      <w:rFonts w:hint="eastAsia" w:ascii="Times New Roman" w:hAnsi="Times New Roman" w:eastAsia="宋体" w:cs="Times New Roman"/>
                      <w:bCs/>
                      <w:color w:val="auto"/>
                      <w:kern w:val="2"/>
                      <w:sz w:val="21"/>
                      <w:szCs w:val="21"/>
                    </w:rPr>
                    <w:t>面积</w:t>
                  </w:r>
                  <w:r>
                    <w:rPr>
                      <w:rFonts w:hint="eastAsia" w:ascii="Times New Roman" w:hAnsi="Times New Roman" w:eastAsia="宋体" w:cs="Times New Roman"/>
                      <w:bCs/>
                      <w:color w:val="auto"/>
                      <w:kern w:val="2"/>
                      <w:sz w:val="21"/>
                      <w:szCs w:val="21"/>
                      <w:lang w:val="en-US" w:eastAsia="zh-CN"/>
                    </w:rPr>
                    <w:t>16656.6</w:t>
                  </w:r>
                  <w:r>
                    <w:rPr>
                      <w:rFonts w:hint="eastAsia" w:ascii="Times New Roman" w:hAnsi="Times New Roman" w:eastAsia="宋体" w:cs="Times New Roman"/>
                      <w:bCs/>
                      <w:color w:val="auto"/>
                      <w:kern w:val="2"/>
                      <w:sz w:val="21"/>
                      <w:szCs w:val="21"/>
                    </w:rPr>
                    <w:t>平方米，总投资</w:t>
                  </w:r>
                  <w:r>
                    <w:rPr>
                      <w:rFonts w:hint="eastAsia" w:ascii="Times New Roman" w:hAnsi="Times New Roman" w:eastAsia="宋体" w:cs="Times New Roman"/>
                      <w:bCs/>
                      <w:color w:val="auto"/>
                      <w:kern w:val="2"/>
                      <w:sz w:val="21"/>
                      <w:szCs w:val="21"/>
                      <w:lang w:val="en-US" w:eastAsia="zh-CN"/>
                    </w:rPr>
                    <w:t>200</w:t>
                  </w:r>
                  <w:r>
                    <w:rPr>
                      <w:rFonts w:hint="eastAsia" w:ascii="Times New Roman" w:hAnsi="Times New Roman" w:eastAsia="宋体" w:cs="Times New Roman"/>
                      <w:bCs/>
                      <w:color w:val="auto"/>
                      <w:kern w:val="2"/>
                      <w:sz w:val="21"/>
                      <w:szCs w:val="21"/>
                    </w:rPr>
                    <w:t>万元。</w:t>
                  </w:r>
                  <w:r>
                    <w:rPr>
                      <w:rFonts w:hint="eastAsia" w:ascii="Times New Roman" w:hAnsi="Times New Roman" w:eastAsia="宋体" w:cs="Times New Roman"/>
                      <w:bCs/>
                      <w:color w:val="auto"/>
                      <w:kern w:val="2"/>
                      <w:sz w:val="21"/>
                      <w:szCs w:val="21"/>
                      <w:lang w:val="en-US" w:eastAsia="zh-CN"/>
                    </w:rPr>
                    <w:t>主要</w:t>
                  </w:r>
                  <w:r>
                    <w:rPr>
                      <w:rFonts w:hint="eastAsia" w:ascii="Times New Roman" w:hAnsi="Times New Roman" w:eastAsia="宋体" w:cs="Times New Roman"/>
                      <w:bCs/>
                      <w:color w:val="auto"/>
                      <w:kern w:val="2"/>
                      <w:sz w:val="21"/>
                      <w:szCs w:val="21"/>
                    </w:rPr>
                    <w:t>从事</w:t>
                  </w:r>
                  <w:r>
                    <w:rPr>
                      <w:rFonts w:hint="eastAsia" w:ascii="Times New Roman" w:hAnsi="Times New Roman" w:eastAsia="宋体"/>
                      <w:bCs/>
                      <w:color w:val="auto"/>
                      <w:kern w:val="2"/>
                      <w:sz w:val="21"/>
                      <w:szCs w:val="21"/>
                    </w:rPr>
                    <w:t>电机</w:t>
                  </w:r>
                  <w:r>
                    <w:rPr>
                      <w:rFonts w:hint="eastAsia" w:ascii="Times New Roman" w:hAnsi="Times New Roman" w:eastAsia="宋体"/>
                      <w:bCs/>
                      <w:color w:val="auto"/>
                      <w:kern w:val="2"/>
                      <w:sz w:val="21"/>
                      <w:szCs w:val="21"/>
                      <w:lang w:eastAsia="zh-CN"/>
                    </w:rPr>
                    <w:t>的</w:t>
                  </w:r>
                  <w:r>
                    <w:rPr>
                      <w:rFonts w:hint="eastAsia" w:ascii="Times New Roman" w:hAnsi="Times New Roman" w:eastAsia="宋体"/>
                      <w:bCs/>
                      <w:color w:val="auto"/>
                      <w:kern w:val="2"/>
                      <w:sz w:val="21"/>
                      <w:szCs w:val="21"/>
                      <w:lang w:val="en-US" w:eastAsia="zh-CN"/>
                    </w:rPr>
                    <w:t>生产加工</w:t>
                  </w:r>
                  <w:r>
                    <w:rPr>
                      <w:rFonts w:ascii="Times New Roman" w:hAnsi="Times New Roman" w:eastAsia="宋体"/>
                      <w:bCs/>
                      <w:color w:val="auto"/>
                      <w:kern w:val="2"/>
                      <w:sz w:val="21"/>
                      <w:szCs w:val="21"/>
                    </w:rPr>
                    <w:t>。该项目建成后，将形成年产</w:t>
                  </w:r>
                  <w:r>
                    <w:rPr>
                      <w:rFonts w:hint="eastAsia" w:ascii="Times New Roman" w:hAnsi="Times New Roman" w:eastAsia="宋体"/>
                      <w:bCs/>
                      <w:color w:val="auto"/>
                      <w:kern w:val="2"/>
                      <w:sz w:val="21"/>
                      <w:szCs w:val="21"/>
                    </w:rPr>
                    <w:t>10万台电机</w:t>
                  </w:r>
                  <w:r>
                    <w:rPr>
                      <w:rFonts w:ascii="Times New Roman" w:hAnsi="Times New Roman" w:eastAsia="宋体"/>
                      <w:bCs/>
                      <w:color w:val="auto"/>
                      <w:kern w:val="2"/>
                      <w:sz w:val="21"/>
                      <w:szCs w:val="21"/>
                    </w:rPr>
                    <w:t>的生产规模</w:t>
                  </w:r>
                  <w:r>
                    <w:rPr>
                      <w:rFonts w:hint="eastAsia" w:ascii="Times New Roman" w:hAnsi="Times New Roman" w:eastAsia="宋体"/>
                      <w:bCs/>
                      <w:color w:val="auto"/>
                      <w:kern w:val="2"/>
                      <w:sz w:val="21"/>
                      <w:szCs w:val="21"/>
                      <w:lang w:eastAsia="zh-CN"/>
                    </w:rPr>
                    <w:t>。</w:t>
                  </w:r>
                </w:p>
              </w:tc>
              <w:tc>
                <w:tcPr>
                  <w:tcW w:w="263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建设项目的性质、地点</w:t>
                  </w:r>
                  <w:r>
                    <w:rPr>
                      <w:rFonts w:hint="eastAsia" w:ascii="Times New Roman" w:hAnsi="Times New Roman" w:eastAsia="宋体"/>
                      <w:bCs/>
                      <w:color w:val="auto"/>
                      <w:kern w:val="2"/>
                      <w:sz w:val="21"/>
                      <w:szCs w:val="21"/>
                    </w:rPr>
                    <w:t>与环评保持一致</w:t>
                  </w:r>
                  <w:r>
                    <w:rPr>
                      <w:rFonts w:hint="eastAsia" w:ascii="Times New Roman" w:hAnsi="Times New Roman" w:eastAsia="宋体"/>
                      <w:bCs/>
                      <w:color w:val="auto"/>
                      <w:kern w:val="2"/>
                      <w:sz w:val="21"/>
                      <w:szCs w:val="21"/>
                      <w:lang w:eastAsia="zh-CN"/>
                    </w:rPr>
                    <w:t>。</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废气污染防治</w:t>
                  </w:r>
                </w:p>
              </w:tc>
              <w:tc>
                <w:tcPr>
                  <w:tcW w:w="4420" w:type="dxa"/>
                  <w:noWrap w:val="0"/>
                  <w:vAlign w:val="center"/>
                </w:tcPr>
                <w:p>
                  <w:pPr>
                    <w:widowControl w:val="0"/>
                    <w:adjustRightInd/>
                    <w:snapToGrid/>
                    <w:spacing w:after="0"/>
                    <w:jc w:val="both"/>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加强废气的收集治理，酸洗废气经集气罩收集，再经二级碱液喷淋塔装置处理后，通过15m高排气筒（DA001）排放，硫酸雾、化氢排放标准执行执行《大气污染物综合排放标准》（GB16297-1996）表2中的二级标准；喷塑粉尘经吸风装置+滤网捕集后与固化废气一并通过15m高排气筒（DA002）排放，</w:t>
                  </w:r>
                  <w:r>
                    <w:rPr>
                      <w:rFonts w:hint="eastAsia" w:ascii="Times New Roman" w:hAnsi="Times New Roman" w:eastAsia="宋体"/>
                      <w:bCs/>
                      <w:color w:val="auto"/>
                      <w:kern w:val="2"/>
                      <w:sz w:val="21"/>
                      <w:szCs w:val="21"/>
                      <w:lang w:val="en-US" w:eastAsia="zh-CN"/>
                    </w:rPr>
                    <w:t>浸漆及晾干</w:t>
                  </w:r>
                  <w:r>
                    <w:rPr>
                      <w:rFonts w:hint="eastAsia" w:ascii="Times New Roman" w:hAnsi="Times New Roman" w:eastAsia="宋体"/>
                      <w:bCs/>
                      <w:color w:val="auto"/>
                      <w:kern w:val="2"/>
                      <w:sz w:val="21"/>
                      <w:szCs w:val="21"/>
                    </w:rPr>
                    <w:t>废气经集气罩收集，再经二级活性炭吸附装置处理后，通过15m高排气筒（DA003）排放，颗粒物、非甲烷总烃排放标准执行《工业涂装工序大气污染物排放标准》（DB33 2146-2018）中表1.大气污染物排放限值；厂界喷塑、固化、浸漆、晾干废气颗粒物、非甲烷总烃无组织排放标准执行《工业涂装工序大气污染物排放标准》（DB33 2146-2018）中表6.企业边界大气污染物浓度限值，气枪吹尘废气颗粒物无组织排放执行《大气污染物综合排放标准》（GB16297-1996）表2中的无组织排放限值要求；厂区内非甲烷总烃无组织排放限值执行《挥发性有机物无组织排放控制标准》（GB37822-2019）中</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rPr>
                    <w:t>表A.1 厂区内V0Cs无组织排放限值</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rPr>
                    <w:t>；根据《工业炉窑大气污染综合治理方案》的通知（环大气[2019]56号）要求，天然气燃烧废气中颗粒物、二氧化硫、氮氧化物排放限值分别不高于30mg/m3、200mg/m3、300mg/m3进行日常管控。</w:t>
                  </w:r>
                </w:p>
              </w:tc>
              <w:tc>
                <w:tcPr>
                  <w:tcW w:w="263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default" w:ascii="Times New Roman" w:hAnsi="Times New Roman" w:eastAsia="宋体" w:cs="Times New Roman"/>
                      <w:color w:val="auto"/>
                      <w:sz w:val="21"/>
                      <w:szCs w:val="21"/>
                      <w:lang w:eastAsia="zh-CN"/>
                    </w:rPr>
                    <w:t>固化废气收集后</w:t>
                  </w:r>
                  <w:r>
                    <w:rPr>
                      <w:rFonts w:hint="eastAsia" w:ascii="Times New Roman" w:hAnsi="Times New Roman" w:eastAsia="宋体" w:cs="Times New Roman"/>
                      <w:color w:val="auto"/>
                      <w:sz w:val="21"/>
                      <w:szCs w:val="21"/>
                      <w:lang w:val="en-US" w:eastAsia="zh-CN"/>
                    </w:rPr>
                    <w:t>不与</w:t>
                  </w:r>
                  <w:r>
                    <w:rPr>
                      <w:rFonts w:hint="default" w:ascii="Times New Roman" w:hAnsi="Times New Roman" w:eastAsia="宋体" w:cs="Times New Roman"/>
                      <w:color w:val="auto"/>
                      <w:sz w:val="21"/>
                      <w:szCs w:val="21"/>
                      <w:lang w:eastAsia="zh-CN"/>
                    </w:rPr>
                    <w:t>喷塑粉尘废气</w:t>
                  </w:r>
                  <w:r>
                    <w:rPr>
                      <w:rFonts w:hint="eastAsia" w:ascii="Times New Roman" w:hAnsi="Times New Roman" w:eastAsia="宋体" w:cs="Times New Roman"/>
                      <w:color w:val="auto"/>
                      <w:sz w:val="21"/>
                      <w:szCs w:val="21"/>
                      <w:lang w:val="en-US" w:eastAsia="zh-CN"/>
                    </w:rPr>
                    <w:t>混合，固化废气和燃烧废气混合通入一级活性炭吸附装置处理后高空排放。喷塑粉尘处理方式实际采用“旋风+滤芯除尘”处理。其他废气收集处理方式与环评一致。</w:t>
                  </w:r>
                  <w:r>
                    <w:rPr>
                      <w:rFonts w:hint="eastAsia" w:ascii="Times New Roman" w:hAnsi="Times New Roman" w:eastAsia="宋体"/>
                      <w:bCs/>
                      <w:color w:val="auto"/>
                      <w:kern w:val="2"/>
                      <w:sz w:val="21"/>
                      <w:szCs w:val="21"/>
                    </w:rPr>
                    <w:t>不属于重大变动</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废水污染防治</w:t>
                  </w:r>
                </w:p>
              </w:tc>
              <w:tc>
                <w:tcPr>
                  <w:tcW w:w="4420" w:type="dxa"/>
                  <w:noWrap w:val="0"/>
                  <w:vAlign w:val="center"/>
                </w:tcPr>
                <w:p>
                  <w:pPr>
                    <w:widowControl w:val="0"/>
                    <w:adjustRightInd/>
                    <w:snapToGrid/>
                    <w:spacing w:after="0"/>
                    <w:jc w:val="both"/>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技改项目新增的硅烷化、超声波清洗废水以及酸洗磷化废水纳管后方可运营；纳管后生产废水经厂内自建废水处理站（TW001）处理达标后排入市政污水管网。污染物排放执行《污水综合排放标准》（GB8978-1996）中的三级标准，其中氨氮、总磷排放标准执行《工业企业废水氮、磷污染物排放限值》（DB331887-2013），总铁排放执行浙江省地方标准《酸洗废水排放总铁浓度限值》（DB33/844-2011）二级标准，总氮排放执行《污水排入城镇下水道水质标准》GB/T31962-2015）B级标准。</w:t>
                  </w:r>
                </w:p>
              </w:tc>
              <w:tc>
                <w:tcPr>
                  <w:tcW w:w="2637"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企业已完成雨污分流并完成废水纳管工作，且取得排水许可证</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固废污染防治</w:t>
                  </w:r>
                </w:p>
              </w:tc>
              <w:tc>
                <w:tcPr>
                  <w:tcW w:w="4420" w:type="dxa"/>
                  <w:noWrap w:val="0"/>
                  <w:vAlign w:val="center"/>
                </w:tcPr>
                <w:p>
                  <w:pPr>
                    <w:widowControl w:val="0"/>
                    <w:adjustRightInd/>
                    <w:snapToGrid/>
                    <w:spacing w:after="0"/>
                    <w:jc w:val="both"/>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固废分类收集分类存放，一般固废落实好防渗漏防雨淋措施，及时委托处置或外售；危险固废分类收集规范暂存，定期委托有资质单位处理，并执行转移联单制度。</w:t>
                  </w:r>
                </w:p>
              </w:tc>
              <w:tc>
                <w:tcPr>
                  <w:tcW w:w="2637"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一般固体废物委托浙江裕欣环境科技有限责任公司接收处置；危</w:t>
                  </w:r>
                  <w:r>
                    <w:rPr>
                      <w:rFonts w:hint="eastAsia" w:ascii="Times New Roman" w:hAnsi="Times New Roman" w:eastAsia="宋体"/>
                      <w:bCs/>
                      <w:color w:val="auto"/>
                      <w:kern w:val="2"/>
                      <w:sz w:val="21"/>
                      <w:szCs w:val="21"/>
                      <w:lang w:val="en-US" w:eastAsia="zh-CN"/>
                    </w:rPr>
                    <w:t>险废</w:t>
                  </w:r>
                  <w:r>
                    <w:rPr>
                      <w:rFonts w:hint="eastAsia" w:ascii="Times New Roman" w:hAnsi="Times New Roman" w:eastAsia="宋体" w:cs="Times New Roman"/>
                      <w:bCs/>
                      <w:color w:val="auto"/>
                      <w:kern w:val="2"/>
                      <w:sz w:val="21"/>
                      <w:szCs w:val="21"/>
                      <w:lang w:val="en-US" w:eastAsia="zh-CN"/>
                    </w:rPr>
                    <w:t>物委托</w:t>
                  </w:r>
                  <w:r>
                    <w:rPr>
                      <w:rFonts w:hint="default" w:ascii="Times New Roman" w:hAnsi="Times New Roman" w:eastAsia="宋体" w:cs="Times New Roman"/>
                      <w:bCs/>
                      <w:color w:val="auto"/>
                      <w:kern w:val="2"/>
                      <w:sz w:val="21"/>
                      <w:szCs w:val="21"/>
                      <w:lang w:val="en-US" w:eastAsia="zh-CN"/>
                    </w:rPr>
                    <w:t>宁波甬润再生资源回收有限公司</w:t>
                  </w:r>
                  <w:r>
                    <w:rPr>
                      <w:rFonts w:hint="eastAsia" w:ascii="Times New Roman" w:hAnsi="Times New Roman" w:eastAsia="宋体" w:cs="Times New Roman"/>
                      <w:bCs/>
                      <w:color w:val="auto"/>
                      <w:kern w:val="2"/>
                      <w:sz w:val="21"/>
                      <w:szCs w:val="21"/>
                      <w:lang w:val="en-US" w:eastAsia="zh-CN"/>
                    </w:rPr>
                    <w:t>处置</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噪声污染防治</w:t>
                  </w:r>
                </w:p>
              </w:tc>
              <w:tc>
                <w:tcPr>
                  <w:tcW w:w="4420" w:type="dxa"/>
                  <w:noWrap w:val="0"/>
                  <w:vAlign w:val="center"/>
                </w:tcPr>
                <w:p>
                  <w:pPr>
                    <w:widowControl w:val="0"/>
                    <w:adjustRightInd/>
                    <w:snapToGrid/>
                    <w:spacing w:after="0"/>
                    <w:jc w:val="both"/>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厂界噪声排放执行《工业企业厂界环境噪声排放标准》GB12348-2008）中的3类标准。</w:t>
                  </w:r>
                </w:p>
              </w:tc>
              <w:tc>
                <w:tcPr>
                  <w:tcW w:w="2637"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通过</w:t>
                  </w:r>
                  <w:r>
                    <w:rPr>
                      <w:rFonts w:hint="eastAsia" w:ascii="Times New Roman" w:hAnsi="Times New Roman" w:eastAsia="宋体"/>
                      <w:bCs/>
                      <w:color w:val="auto"/>
                      <w:kern w:val="2"/>
                      <w:sz w:val="21"/>
                      <w:szCs w:val="21"/>
                      <w:lang w:eastAsia="zh-CN"/>
                    </w:rPr>
                    <w:t>“</w:t>
                  </w:r>
                  <w:r>
                    <w:rPr>
                      <w:rFonts w:ascii="Times New Roman" w:hAnsi="Times New Roman" w:eastAsia="宋体"/>
                      <w:bCs/>
                      <w:color w:val="auto"/>
                      <w:kern w:val="2"/>
                      <w:sz w:val="21"/>
                      <w:szCs w:val="21"/>
                    </w:rPr>
                    <w:t>①设备选型时尽量选用性能稳定，运转平稳、低噪声的设备，防止非正常噪声；②对场地进行合理布局，高噪声设备安放时远离厂界；③对高噪声设备根据设备的自重及振动特性采用合适的隔振垫、减振器等；④加强设备管理和维护，有异常情况时及时检修</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rPr>
                    <w:t>等措施减振降噪</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7"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其他</w:t>
                  </w:r>
                </w:p>
              </w:tc>
              <w:tc>
                <w:tcPr>
                  <w:tcW w:w="4420" w:type="dxa"/>
                  <w:noWrap w:val="0"/>
                  <w:vAlign w:val="center"/>
                </w:tcPr>
                <w:p>
                  <w:pPr>
                    <w:widowControl w:val="0"/>
                    <w:adjustRightInd/>
                    <w:snapToGrid/>
                    <w:spacing w:after="0"/>
                    <w:jc w:val="both"/>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严格按照《报告表》要求落实风险事故防范对策措施。</w:t>
                  </w:r>
                </w:p>
                <w:p>
                  <w:pPr>
                    <w:widowControl w:val="0"/>
                    <w:adjustRightInd/>
                    <w:snapToGrid/>
                    <w:spacing w:after="0"/>
                    <w:jc w:val="both"/>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你单位为《固定污染源排污许可分类管理名录（2019年版）》中实施简化管理的排污单位，应当按照排污许可的相关规定完成排污许可证申领工作。</w:t>
                  </w:r>
                </w:p>
              </w:tc>
              <w:tc>
                <w:tcPr>
                  <w:tcW w:w="2637" w:type="dxa"/>
                  <w:noWrap w:val="0"/>
                  <w:vAlign w:val="center"/>
                </w:tcPr>
                <w:p>
                  <w:pPr>
                    <w:widowControl w:val="0"/>
                    <w:adjustRightInd/>
                    <w:snapToGrid/>
                    <w:spacing w:after="0"/>
                    <w:jc w:val="both"/>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已完成厂区应急预案修订并完成备案，备案号：</w:t>
                  </w:r>
                  <w:r>
                    <w:rPr>
                      <w:rFonts w:hint="eastAsia" w:ascii="Times New Roman" w:hAnsi="Times New Roman" w:eastAsia="宋体" w:cs="Times New Roman"/>
                      <w:bCs/>
                      <w:color w:val="auto"/>
                      <w:kern w:val="2"/>
                      <w:sz w:val="21"/>
                      <w:szCs w:val="21"/>
                      <w:lang w:val="en-US" w:eastAsia="zh-CN"/>
                    </w:rPr>
                    <w:t>330203-2024-001-L。</w:t>
                  </w:r>
                </w:p>
                <w:p>
                  <w:pPr>
                    <w:pStyle w:val="17"/>
                    <w:rPr>
                      <w:rFonts w:hint="default"/>
                      <w:lang w:val="en-US" w:eastAsia="zh-CN"/>
                    </w:rPr>
                  </w:pPr>
                  <w:r>
                    <w:rPr>
                      <w:rFonts w:hint="eastAsia" w:ascii="Times New Roman" w:hAnsi="Times New Roman" w:eastAsia="宋体" w:cs="Times New Roman"/>
                      <w:bCs/>
                      <w:color w:val="auto"/>
                      <w:kern w:val="2"/>
                      <w:sz w:val="21"/>
                      <w:szCs w:val="21"/>
                      <w:lang w:val="en-US" w:eastAsia="zh-CN"/>
                    </w:rPr>
                    <w:t>已完成排污许可证申领，排污许可证编号：913302127421672138001W。</w:t>
                  </w:r>
                </w:p>
              </w:tc>
              <w:tc>
                <w:tcPr>
                  <w:tcW w:w="751"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bl>
          <w:p>
            <w:pPr>
              <w:widowControl w:val="0"/>
              <w:adjustRightInd/>
              <w:snapToGrid/>
              <w:spacing w:after="0"/>
              <w:jc w:val="center"/>
              <w:rPr>
                <w:rFonts w:ascii="Times New Roman" w:hAnsi="Times New Roman" w:eastAsia="宋体"/>
                <w:b/>
                <w:color w:val="auto"/>
                <w:kern w:val="2"/>
                <w:sz w:val="21"/>
                <w:szCs w:val="21"/>
              </w:rPr>
            </w:pPr>
          </w:p>
          <w:p>
            <w:pPr>
              <w:widowControl w:val="0"/>
              <w:adjustRightInd/>
              <w:snapToGrid/>
              <w:spacing w:after="0" w:line="360" w:lineRule="auto"/>
              <w:jc w:val="both"/>
              <w:rPr>
                <w:rFonts w:ascii="Times New Roman" w:hAnsi="Times New Roman" w:eastAsia="宋体"/>
                <w:bCs/>
                <w:color w:val="auto"/>
                <w:kern w:val="2"/>
                <w:sz w:val="21"/>
                <w:szCs w:val="21"/>
              </w:rPr>
            </w:pPr>
          </w:p>
        </w:tc>
      </w:tr>
    </w:tbl>
    <w:p>
      <w:pPr>
        <w:adjustRightInd/>
        <w:snapToGrid/>
        <w:spacing w:after="0" w:line="360" w:lineRule="auto"/>
        <w:rPr>
          <w:rFonts w:ascii="Times New Roman" w:hAnsi="Times New Roman" w:eastAsia="宋体"/>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17" w:name="_Toc9256"/>
      <w:bookmarkStart w:id="18" w:name="_Toc21445"/>
      <w:r>
        <w:rPr>
          <w:rFonts w:ascii="Times New Roman" w:hAnsi="Times New Roman" w:eastAsia="宋体"/>
          <w:color w:val="auto"/>
        </w:rPr>
        <w:t>表五</w:t>
      </w:r>
      <w:bookmarkEnd w:id="17"/>
      <w:r>
        <w:rPr>
          <w:rFonts w:ascii="Times New Roman" w:hAnsi="Times New Roman" w:eastAsia="宋体"/>
          <w:color w:val="auto"/>
        </w:rPr>
        <w:t>验收监测质量保证及质量控制</w:t>
      </w:r>
      <w:bookmarkEnd w:id="18"/>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top"/>
          </w:tcPr>
          <w:p>
            <w:pPr>
              <w:widowControl w:val="0"/>
              <w:adjustRightInd/>
              <w:snapToGrid/>
              <w:spacing w:after="0" w:line="336" w:lineRule="auto"/>
              <w:ind w:firstLine="482" w:firstLineChars="200"/>
              <w:jc w:val="both"/>
              <w:rPr>
                <w:rFonts w:ascii="Times New Roman" w:hAnsi="Times New Roman" w:eastAsia="宋体"/>
                <w:color w:val="auto"/>
                <w:sz w:val="24"/>
                <w:szCs w:val="32"/>
              </w:rPr>
            </w:pPr>
            <w:bookmarkStart w:id="19" w:name="_Toc514248121"/>
            <w:r>
              <w:rPr>
                <w:rFonts w:hint="eastAsia" w:ascii="Times New Roman" w:hAnsi="Times New Roman" w:eastAsia="宋体"/>
                <w:b/>
                <w:color w:val="auto"/>
                <w:kern w:val="2"/>
                <w:sz w:val="24"/>
                <w:szCs w:val="24"/>
              </w:rPr>
              <w:t>5</w:t>
            </w:r>
            <w:r>
              <w:rPr>
                <w:rFonts w:ascii="Times New Roman" w:hAnsi="Times New Roman" w:eastAsia="宋体"/>
                <w:b/>
                <w:color w:val="auto"/>
                <w:kern w:val="2"/>
                <w:sz w:val="24"/>
                <w:szCs w:val="24"/>
              </w:rPr>
              <w:t>.1监测分析方法</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监测分析方法按国家标准分析方法和国家环保总局颁布的监测分析方法，详见下表。</w:t>
            </w:r>
          </w:p>
          <w:p>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表5-1监测分析方法</w:t>
            </w:r>
          </w:p>
          <w:tbl>
            <w:tblPr>
              <w:tblStyle w:val="1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2"/>
              <w:gridCol w:w="1715"/>
              <w:gridCol w:w="64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项目类别</w:t>
                  </w: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检测项目</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rPr>
                    <w:t>检测依据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噪声</w:t>
                  </w: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工业企业厂界环境噪声</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工业企业厂界环境噪声排放标准GB 12348-2008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restar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废水</w:t>
                  </w: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pH值</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水质</w:t>
                  </w:r>
                  <w:r>
                    <w:rPr>
                      <w:rFonts w:hint="default" w:ascii="Times New Roman" w:hAnsi="Times New Roman" w:eastAsia="宋体" w:cs="Times New Roman"/>
                      <w:bCs/>
                      <w:color w:val="auto"/>
                      <w:kern w:val="2"/>
                      <w:sz w:val="21"/>
                      <w:szCs w:val="21"/>
                      <w:lang w:val="en-US" w:eastAsia="zh-CN"/>
                    </w:rPr>
                    <w:t xml:space="preserve"> pH值的测定 电极法 </w:t>
                  </w:r>
                </w:p>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HJ 1147-2020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悬浮物</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水质 悬浮物的测定 重量法 GB/T 11901-1989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氨氮</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水质 氨氮的测定 纳氏试剂分光光度法 HJ 535-2009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总氮</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 xml:space="preserve">水质 总氮的测定 碱性过硫酸钾消解紫外分光光度法 </w:t>
                  </w:r>
                </w:p>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HJ 636-2012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总磷</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水质 总磷的测定 钼酸铵分光光度法 GB/T 11893-1989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化学需氧量</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水质 化学需氧量的测定 重铬酸盐法 HJ 828-2017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石油类</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eastAsia" w:ascii="Times New Roman" w:hAnsi="Times New Roman" w:eastAsia="宋体" w:cs="Times New Roman"/>
                      <w:bCs/>
                      <w:color w:val="auto"/>
                      <w:kern w:val="2"/>
                      <w:sz w:val="21"/>
                      <w:szCs w:val="21"/>
                      <w:lang w:val="en-US" w:eastAsia="zh-CN"/>
                    </w:rPr>
                    <w:t>水质</w:t>
                  </w:r>
                  <w:r>
                    <w:rPr>
                      <w:rFonts w:hint="default" w:ascii="Times New Roman" w:hAnsi="Times New Roman" w:eastAsia="宋体" w:cs="Times New Roman"/>
                      <w:bCs/>
                      <w:color w:val="auto"/>
                      <w:kern w:val="2"/>
                      <w:sz w:val="21"/>
                      <w:szCs w:val="21"/>
                      <w:lang w:val="en-US" w:eastAsia="zh-CN"/>
                    </w:rPr>
                    <w:t xml:space="preserve"> 石油类和动植物油类的测定 红外分光光度法 HJ 637-2018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阴离子表面活性剂</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水质</w:t>
                  </w:r>
                  <w:r>
                    <w:rPr>
                      <w:rFonts w:hint="default" w:ascii="Times New Roman" w:hAnsi="Times New Roman" w:eastAsia="宋体" w:cs="Times New Roman"/>
                      <w:bCs/>
                      <w:color w:val="auto"/>
                      <w:kern w:val="2"/>
                      <w:sz w:val="21"/>
                      <w:szCs w:val="21"/>
                      <w:lang w:val="en-US" w:eastAsia="zh-CN"/>
                    </w:rPr>
                    <w:t xml:space="preserve"> 阴离子表面活性剂的测定  亚甲蓝分光光度法 GB/T</w:t>
                  </w:r>
                  <w:r>
                    <w:rPr>
                      <w:rFonts w:hint="eastAsia" w:ascii="Times New Roman" w:hAnsi="Times New Roman" w:eastAsia="宋体" w:cs="Times New Roman"/>
                      <w:bCs/>
                      <w:color w:val="auto"/>
                      <w:kern w:val="2"/>
                      <w:sz w:val="21"/>
                      <w:szCs w:val="21"/>
                      <w:lang w:val="en-US" w:eastAsia="zh-CN"/>
                    </w:rPr>
                    <w:t xml:space="preserve"> </w:t>
                  </w:r>
                  <w:r>
                    <w:rPr>
                      <w:rFonts w:hint="default" w:ascii="Times New Roman" w:hAnsi="Times New Roman" w:eastAsia="宋体" w:cs="Times New Roman"/>
                      <w:bCs/>
                      <w:color w:val="auto"/>
                      <w:kern w:val="2"/>
                      <w:sz w:val="21"/>
                      <w:szCs w:val="21"/>
                      <w:lang w:val="en-US" w:eastAsia="zh-CN"/>
                    </w:rPr>
                    <w:t>7494-1987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锰</w:t>
                  </w:r>
                </w:p>
              </w:tc>
              <w:tc>
                <w:tcPr>
                  <w:tcW w:w="3579" w:type="pct"/>
                  <w:vMerge w:val="restar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rPr>
                    <w:t>水质 32种元素的测定 电感耦合等离子发射光谱法 HJ 776-2015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锌</w:t>
                  </w:r>
                </w:p>
              </w:tc>
              <w:tc>
                <w:tcPr>
                  <w:tcW w:w="3579"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铁</w:t>
                  </w:r>
                </w:p>
              </w:tc>
              <w:tc>
                <w:tcPr>
                  <w:tcW w:w="3579"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restar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废气</w:t>
                  </w: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非甲烷总烃</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环境空气</w:t>
                  </w:r>
                  <w:r>
                    <w:rPr>
                      <w:rFonts w:hint="default" w:ascii="Times New Roman" w:hAnsi="Times New Roman" w:eastAsia="宋体" w:cs="Times New Roman"/>
                      <w:bCs/>
                      <w:color w:val="auto"/>
                      <w:kern w:val="2"/>
                      <w:sz w:val="21"/>
                      <w:szCs w:val="21"/>
                      <w:lang w:val="en-US" w:eastAsia="zh-CN"/>
                    </w:rPr>
                    <w:t xml:space="preserve"> </w:t>
                  </w:r>
                  <w:r>
                    <w:rPr>
                      <w:rFonts w:hint="eastAsia" w:ascii="Times New Roman" w:hAnsi="Times New Roman" w:eastAsia="宋体" w:cs="Times New Roman"/>
                      <w:bCs/>
                      <w:color w:val="auto"/>
                      <w:kern w:val="2"/>
                      <w:sz w:val="21"/>
                      <w:szCs w:val="21"/>
                      <w:lang w:val="en-US" w:eastAsia="zh-CN"/>
                    </w:rPr>
                    <w:t>总烃、甲烷和非甲烷总烃的测定</w:t>
                  </w:r>
                  <w:r>
                    <w:rPr>
                      <w:rFonts w:hint="default" w:ascii="Times New Roman" w:hAnsi="Times New Roman" w:eastAsia="宋体" w:cs="Times New Roman"/>
                      <w:bCs/>
                      <w:color w:val="auto"/>
                      <w:kern w:val="2"/>
                      <w:sz w:val="21"/>
                      <w:szCs w:val="21"/>
                      <w:lang w:val="en-US" w:eastAsia="zh-CN"/>
                    </w:rPr>
                    <w:t xml:space="preserve"> </w:t>
                  </w:r>
                  <w:r>
                    <w:rPr>
                      <w:rFonts w:hint="eastAsia" w:ascii="Times New Roman" w:hAnsi="Times New Roman" w:eastAsia="宋体" w:cs="Times New Roman"/>
                      <w:bCs/>
                      <w:color w:val="auto"/>
                      <w:kern w:val="2"/>
                      <w:sz w:val="21"/>
                      <w:szCs w:val="21"/>
                      <w:lang w:val="en-US" w:eastAsia="zh-CN"/>
                    </w:rPr>
                    <w:t>直接进样</w:t>
                  </w:r>
                  <w:r>
                    <w:rPr>
                      <w:rFonts w:hint="default" w:ascii="Times New Roman" w:hAnsi="Times New Roman" w:eastAsia="宋体" w:cs="Times New Roman"/>
                      <w:bCs/>
                      <w:color w:val="auto"/>
                      <w:kern w:val="2"/>
                      <w:sz w:val="21"/>
                      <w:szCs w:val="21"/>
                      <w:lang w:val="en-US" w:eastAsia="zh-CN"/>
                    </w:rPr>
                    <w:t>-</w:t>
                  </w:r>
                  <w:r>
                    <w:rPr>
                      <w:rFonts w:hint="eastAsia" w:ascii="Times New Roman" w:hAnsi="Times New Roman" w:eastAsia="宋体" w:cs="Times New Roman"/>
                      <w:bCs/>
                      <w:color w:val="auto"/>
                      <w:kern w:val="2"/>
                      <w:sz w:val="21"/>
                      <w:szCs w:val="21"/>
                      <w:lang w:val="en-US" w:eastAsia="zh-CN"/>
                    </w:rPr>
                    <w:t>气相色谱法</w:t>
                  </w:r>
                  <w:r>
                    <w:rPr>
                      <w:rFonts w:hint="default" w:ascii="Times New Roman" w:hAnsi="Times New Roman" w:eastAsia="宋体" w:cs="Times New Roman"/>
                      <w:bCs/>
                      <w:color w:val="auto"/>
                      <w:kern w:val="2"/>
                      <w:sz w:val="21"/>
                      <w:szCs w:val="21"/>
                      <w:lang w:val="en-US" w:eastAsia="zh-CN"/>
                    </w:rPr>
                    <w:t xml:space="preserve"> HJ 604-2017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非甲烷总烃</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固定污染源废气</w:t>
                  </w:r>
                  <w:r>
                    <w:rPr>
                      <w:rFonts w:hint="default" w:ascii="Times New Roman" w:hAnsi="Times New Roman" w:eastAsia="宋体" w:cs="Times New Roman"/>
                      <w:bCs/>
                      <w:color w:val="auto"/>
                      <w:kern w:val="2"/>
                      <w:sz w:val="21"/>
                      <w:szCs w:val="21"/>
                      <w:lang w:val="en-US" w:eastAsia="zh-CN"/>
                    </w:rPr>
                    <w:t xml:space="preserve"> </w:t>
                  </w:r>
                  <w:r>
                    <w:rPr>
                      <w:rFonts w:hint="eastAsia" w:ascii="Times New Roman" w:hAnsi="Times New Roman" w:eastAsia="宋体" w:cs="Times New Roman"/>
                      <w:bCs/>
                      <w:color w:val="auto"/>
                      <w:kern w:val="2"/>
                      <w:sz w:val="21"/>
                      <w:szCs w:val="21"/>
                      <w:lang w:val="en-US" w:eastAsia="zh-CN"/>
                    </w:rPr>
                    <w:t>总烃、甲烷和非甲烷总烃的测定</w:t>
                  </w:r>
                  <w:r>
                    <w:rPr>
                      <w:rFonts w:hint="default" w:ascii="Times New Roman" w:hAnsi="Times New Roman" w:eastAsia="宋体" w:cs="Times New Roman"/>
                      <w:bCs/>
                      <w:color w:val="auto"/>
                      <w:kern w:val="2"/>
                      <w:sz w:val="21"/>
                      <w:szCs w:val="21"/>
                      <w:lang w:val="en-US" w:eastAsia="zh-CN"/>
                    </w:rPr>
                    <w:t xml:space="preserve"> </w:t>
                  </w:r>
                  <w:r>
                    <w:rPr>
                      <w:rFonts w:hint="eastAsia" w:ascii="Times New Roman" w:hAnsi="Times New Roman" w:eastAsia="宋体" w:cs="Times New Roman"/>
                      <w:bCs/>
                      <w:color w:val="auto"/>
                      <w:kern w:val="2"/>
                      <w:sz w:val="21"/>
                      <w:szCs w:val="21"/>
                      <w:lang w:val="en-US" w:eastAsia="zh-CN"/>
                    </w:rPr>
                    <w:t>气相色谱法</w:t>
                  </w:r>
                  <w:r>
                    <w:rPr>
                      <w:rFonts w:hint="default" w:ascii="Times New Roman" w:hAnsi="Times New Roman" w:eastAsia="宋体" w:cs="Times New Roman"/>
                      <w:bCs/>
                      <w:color w:val="auto"/>
                      <w:kern w:val="2"/>
                      <w:sz w:val="21"/>
                      <w:szCs w:val="21"/>
                      <w:lang w:val="en-US" w:eastAsia="zh-CN"/>
                    </w:rPr>
                    <w:t xml:space="preserve"> </w:t>
                  </w:r>
                </w:p>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HJ 38-2017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氯化氢</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环境空气和废气 氯化氢的测定 离子色谱法 HJ 549-2016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硫酸雾</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铬酸钡分光光度法《空气与废气监测分析方法》（第四版增补版）国家环境保护总局（2007年）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硫酸雾</w:t>
                  </w:r>
                </w:p>
              </w:tc>
              <w:tc>
                <w:tcPr>
                  <w:tcW w:w="3579"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固定污染源废气 硫酸雾的测定 离子色谱法 HJ 544-2016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二氧化硫</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固定污染源废气 二氧化硫的测定 定电位电解法 HJ 57-2017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氮氧化物</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固定污染源废气 氮氧化物的测定 定电位电解法 HJ 693-2014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臭气浓度</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环境空气和废气 臭气的测定 三点比较式臭袋法</w:t>
                  </w:r>
                  <w:r>
                    <w:rPr>
                      <w:rFonts w:hint="default" w:ascii="Times New Roman" w:hAnsi="Times New Roman" w:eastAsia="宋体" w:cs="Times New Roman"/>
                      <w:bCs/>
                      <w:color w:val="auto"/>
                      <w:kern w:val="2"/>
                      <w:sz w:val="21"/>
                      <w:szCs w:val="21"/>
                      <w:lang w:val="en-US" w:eastAsia="zh-CN"/>
                    </w:rPr>
                    <w:t xml:space="preserve"> HJ 1262-2022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颗粒物</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固定污染源废气 低浓度颗粒物的测定 重量法 HJ 836-2017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75"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945"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总悬浮颗粒物</w:t>
                  </w:r>
                </w:p>
              </w:tc>
              <w:tc>
                <w:tcPr>
                  <w:tcW w:w="3579"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环境空气 总悬浮颗粒物的测定 重量法 HJ 1263-2022</w:t>
                  </w:r>
                </w:p>
              </w:tc>
            </w:tr>
          </w:tbl>
          <w:p>
            <w:pPr>
              <w:widowControl w:val="0"/>
              <w:adjustRightInd/>
              <w:snapToGrid/>
              <w:spacing w:after="0"/>
              <w:jc w:val="center"/>
              <w:rPr>
                <w:rFonts w:ascii="Times New Roman" w:hAnsi="Times New Roman" w:eastAsia="宋体"/>
                <w:bCs/>
                <w:color w:val="auto"/>
                <w:kern w:val="2"/>
                <w:sz w:val="21"/>
                <w:szCs w:val="21"/>
              </w:rPr>
            </w:pPr>
          </w:p>
          <w:bookmarkEnd w:id="19"/>
          <w:p>
            <w:pPr>
              <w:pStyle w:val="17"/>
              <w:adjustRightInd/>
              <w:spacing w:line="336" w:lineRule="auto"/>
              <w:ind w:firstLine="482" w:firstLineChars="200"/>
              <w:jc w:val="both"/>
              <w:rPr>
                <w:b/>
                <w:bCs/>
                <w:color w:val="auto"/>
              </w:rPr>
            </w:pPr>
            <w:r>
              <w:rPr>
                <w:b/>
                <w:bCs/>
                <w:color w:val="auto"/>
              </w:rPr>
              <w:t>5.2监测分析仪器</w:t>
            </w:r>
          </w:p>
          <w:p>
            <w:pPr>
              <w:pStyle w:val="17"/>
              <w:adjustRightInd/>
              <w:spacing w:line="336" w:lineRule="auto"/>
              <w:ind w:firstLine="480" w:firstLineChars="200"/>
              <w:jc w:val="both"/>
              <w:rPr>
                <w:color w:val="auto"/>
              </w:rPr>
            </w:pPr>
            <w:r>
              <w:rPr>
                <w:color w:val="auto"/>
              </w:rPr>
              <w:t>本项目验收检测委托</w:t>
            </w:r>
            <w:r>
              <w:rPr>
                <w:rFonts w:hint="eastAsia"/>
                <w:color w:val="auto"/>
                <w:lang w:eastAsia="zh-CN"/>
              </w:rPr>
              <w:t>浙江甬信检测技术有限公司</w:t>
            </w:r>
            <w:r>
              <w:rPr>
                <w:color w:val="auto"/>
              </w:rPr>
              <w:t>，根据核实，该公司已根据《检测检验机构通用要求》和《检验检测机构资质认定生态环境检测机构评审补充要求》的规定，建立了《仪器设备管理程序》、《仪器设备期间核查程序》等与仪器设备相关的程序，各设备的性能和状态符合检测技术要求，对仪器设备实施了有效管理，根据核查参与项目的监测仪器均经有资质单位经过检定、校准合格后使用，并在规定的时间内根据实际情况落实各类期间核查计划，能保证监测数据的有效。</w:t>
            </w:r>
          </w:p>
          <w:p>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表5-2</w:t>
            </w:r>
            <w:r>
              <w:rPr>
                <w:rFonts w:hint="eastAsia" w:ascii="Times New Roman" w:hAnsi="Times New Roman" w:eastAsia="宋体"/>
                <w:b/>
                <w:color w:val="auto"/>
                <w:kern w:val="2"/>
                <w:sz w:val="21"/>
                <w:szCs w:val="21"/>
                <w:lang w:val="en-US" w:eastAsia="zh-CN"/>
              </w:rPr>
              <w:t xml:space="preserve"> </w:t>
            </w:r>
            <w:r>
              <w:rPr>
                <w:rFonts w:hint="eastAsia" w:ascii="Times New Roman" w:hAnsi="Times New Roman" w:eastAsia="宋体"/>
                <w:b/>
                <w:color w:val="auto"/>
                <w:kern w:val="2"/>
                <w:sz w:val="21"/>
                <w:szCs w:val="21"/>
              </w:rPr>
              <w:t>主要检测仪器设备一览表</w:t>
            </w:r>
          </w:p>
          <w:tbl>
            <w:tblPr>
              <w:tblStyle w:val="1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2544"/>
              <w:gridCol w:w="53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项目类别</w:t>
                  </w: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检测项目</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仪器设备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噪声</w:t>
                  </w: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工业企业厂界环境噪声</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多功能声级计YX-SB-034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restar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废水</w:t>
                  </w: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pH值</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便携式</w:t>
                  </w:r>
                  <w:r>
                    <w:rPr>
                      <w:rFonts w:hint="default" w:ascii="Times New Roman" w:hAnsi="Times New Roman" w:eastAsia="宋体" w:cs="Times New Roman"/>
                      <w:bCs/>
                      <w:color w:val="auto"/>
                      <w:kern w:val="2"/>
                      <w:sz w:val="21"/>
                      <w:szCs w:val="21"/>
                      <w:lang w:val="en-US" w:eastAsia="zh-CN"/>
                    </w:rPr>
                    <w:t>pH计</w:t>
                  </w:r>
                  <w:r>
                    <w:rPr>
                      <w:rFonts w:hint="eastAsia" w:ascii="Times New Roman" w:hAnsi="Times New Roman" w:eastAsia="宋体" w:cs="Times New Roman"/>
                      <w:bCs/>
                      <w:color w:val="auto"/>
                      <w:kern w:val="2"/>
                      <w:sz w:val="21"/>
                      <w:szCs w:val="21"/>
                      <w:lang w:val="en-US" w:eastAsia="zh-CN"/>
                    </w:rPr>
                    <w:t xml:space="preserve"> </w:t>
                  </w:r>
                  <w:r>
                    <w:rPr>
                      <w:rFonts w:hint="default" w:ascii="Times New Roman" w:hAnsi="Times New Roman" w:eastAsia="宋体" w:cs="Times New Roman"/>
                      <w:bCs/>
                      <w:color w:val="auto"/>
                      <w:kern w:val="2"/>
                      <w:sz w:val="21"/>
                      <w:szCs w:val="21"/>
                      <w:lang w:val="en-US" w:eastAsia="zh-CN"/>
                    </w:rPr>
                    <w:t>YX-SB-174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悬浮物</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万分之一天平YX-SB-012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氨氮</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可见分光光度计YX-SB-182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总氮</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紫外可见分光光度计YX-SB-006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总磷</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可见分光光度计YX-SB-182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化学需氧量</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酸式滴定管YX-SB-123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石油类</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红外分光测油仪YX-SB-005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阴离子表面活性剂</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可见分光光度计YX-SB-182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锰</w:t>
                  </w:r>
                </w:p>
              </w:tc>
              <w:tc>
                <w:tcPr>
                  <w:tcW w:w="2951" w:type="pct"/>
                  <w:vMerge w:val="restar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电感耦合等离子体发射光谱元素分析仪YX-SB-206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锌</w:t>
                  </w:r>
                </w:p>
              </w:tc>
              <w:tc>
                <w:tcPr>
                  <w:tcW w:w="295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铁</w:t>
                  </w:r>
                </w:p>
              </w:tc>
              <w:tc>
                <w:tcPr>
                  <w:tcW w:w="295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restar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废气</w:t>
                  </w: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非甲烷总烃</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气相色谱仪YX-SB-007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非甲烷总烃</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气相色谱仪YX-SB-007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氯化氢</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离子色谱仪</w:t>
                  </w:r>
                  <w:r>
                    <w:rPr>
                      <w:rFonts w:hint="default" w:ascii="Times New Roman" w:hAnsi="Times New Roman" w:eastAsia="宋体" w:cs="Times New Roman"/>
                      <w:bCs/>
                      <w:color w:val="auto"/>
                      <w:kern w:val="2"/>
                      <w:sz w:val="21"/>
                      <w:szCs w:val="21"/>
                      <w:lang w:val="en-US" w:eastAsia="zh-CN"/>
                    </w:rPr>
                    <w:t>YX-SB-004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硫酸雾</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可见分光光度计YX-SB-182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硫酸雾</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离子色谱仪</w:t>
                  </w:r>
                  <w:r>
                    <w:rPr>
                      <w:rFonts w:hint="default" w:ascii="Times New Roman" w:hAnsi="Times New Roman" w:eastAsia="宋体" w:cs="Times New Roman"/>
                      <w:bCs/>
                      <w:color w:val="auto"/>
                      <w:kern w:val="2"/>
                      <w:sz w:val="21"/>
                      <w:szCs w:val="21"/>
                      <w:lang w:val="en-US" w:eastAsia="zh-CN"/>
                    </w:rPr>
                    <w:t>YX-SB-004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二氧化硫</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自动烟尘（气）测试仪YX-SB-033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氮氧化物</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自动烟尘（气）测试仪YX-SB-033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臭气浓度</w:t>
                  </w:r>
                </w:p>
              </w:tc>
              <w:tc>
                <w:tcPr>
                  <w:tcW w:w="2951"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颗粒物</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十万分之一天平YX-SB-013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1" w:type="pct"/>
                  <w:vMerge w:val="continue"/>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p>
              </w:tc>
              <w:tc>
                <w:tcPr>
                  <w:tcW w:w="1407"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总悬浮颗粒物</w:t>
                  </w:r>
                </w:p>
              </w:tc>
              <w:tc>
                <w:tcPr>
                  <w:tcW w:w="2951" w:type="pct"/>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十万分之一天平YX-SB-013</w:t>
                  </w:r>
                </w:p>
              </w:tc>
            </w:tr>
          </w:tbl>
          <w:p>
            <w:pPr>
              <w:widowControl w:val="0"/>
              <w:adjustRightInd/>
              <w:snapToGrid/>
              <w:spacing w:after="0"/>
              <w:jc w:val="center"/>
              <w:rPr>
                <w:rFonts w:ascii="Times New Roman" w:hAnsi="Times New Roman" w:eastAsia="宋体"/>
                <w:bCs/>
                <w:color w:val="auto"/>
                <w:kern w:val="2"/>
                <w:sz w:val="21"/>
                <w:szCs w:val="21"/>
              </w:rPr>
            </w:pPr>
          </w:p>
          <w:p>
            <w:pPr>
              <w:pStyle w:val="17"/>
              <w:adjustRightInd/>
              <w:spacing w:line="336" w:lineRule="auto"/>
              <w:ind w:firstLine="482" w:firstLineChars="200"/>
              <w:jc w:val="both"/>
              <w:rPr>
                <w:rFonts w:hint="eastAsia"/>
                <w:b/>
                <w:bCs/>
                <w:color w:val="auto"/>
              </w:rPr>
            </w:pPr>
            <w:r>
              <w:rPr>
                <w:b/>
                <w:bCs/>
                <w:color w:val="auto"/>
              </w:rPr>
              <w:t>5.</w:t>
            </w:r>
            <w:r>
              <w:rPr>
                <w:rFonts w:hint="eastAsia"/>
                <w:b/>
                <w:bCs/>
                <w:color w:val="auto"/>
              </w:rPr>
              <w:t>3人员资质</w:t>
            </w:r>
          </w:p>
          <w:p>
            <w:pPr>
              <w:pStyle w:val="17"/>
              <w:adjustRightInd/>
              <w:spacing w:line="336" w:lineRule="auto"/>
              <w:ind w:firstLine="480" w:firstLineChars="200"/>
              <w:jc w:val="both"/>
              <w:rPr>
                <w:color w:val="auto"/>
              </w:rPr>
            </w:pPr>
            <w:r>
              <w:rPr>
                <w:color w:val="auto"/>
              </w:rPr>
              <w:t>根据现场核实，参与项目的采样、分析技术人员均参与浙江省环境监测协会、公司内部的培训，并通过考核、拥有相关领域的上岗证才能进行相关领域的监测工作，做到了执证上岗。</w:t>
            </w:r>
          </w:p>
          <w:p>
            <w:pPr>
              <w:widowControl w:val="0"/>
              <w:adjustRightInd/>
              <w:snapToGrid/>
              <w:spacing w:after="0"/>
              <w:jc w:val="center"/>
              <w:rPr>
                <w:rFonts w:hint="eastAsia"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lang w:val="en-US" w:eastAsia="zh-CN"/>
              </w:rPr>
              <w:t xml:space="preserve">5-3 </w:t>
            </w:r>
            <w:r>
              <w:rPr>
                <w:rFonts w:hint="eastAsia" w:ascii="Times New Roman" w:hAnsi="Times New Roman" w:eastAsia="宋体" w:cs="Times New Roman"/>
                <w:b/>
                <w:color w:val="auto"/>
                <w:kern w:val="2"/>
                <w:sz w:val="21"/>
                <w:szCs w:val="21"/>
              </w:rPr>
              <w:t>采样/检测人员信息一览表</w:t>
            </w:r>
          </w:p>
          <w:p>
            <w:pPr>
              <w:pStyle w:val="2"/>
              <w:jc w:val="center"/>
              <w:rPr>
                <w:rFonts w:hint="default"/>
                <w:lang w:val="en-US" w:eastAsia="zh-CN"/>
              </w:rPr>
            </w:pPr>
            <w:r>
              <w:drawing>
                <wp:inline distT="0" distB="0" distL="114300" distR="114300">
                  <wp:extent cx="4589145" cy="2954655"/>
                  <wp:effectExtent l="0" t="0" r="1905" b="1714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22"/>
                          <a:stretch>
                            <a:fillRect/>
                          </a:stretch>
                        </pic:blipFill>
                        <pic:spPr>
                          <a:xfrm>
                            <a:off x="0" y="0"/>
                            <a:ext cx="4589145" cy="2954655"/>
                          </a:xfrm>
                          <a:prstGeom prst="rect">
                            <a:avLst/>
                          </a:prstGeom>
                          <a:noFill/>
                          <a:ln>
                            <a:noFill/>
                          </a:ln>
                        </pic:spPr>
                      </pic:pic>
                    </a:graphicData>
                  </a:graphic>
                </wp:inline>
              </w:drawing>
            </w:r>
          </w:p>
          <w:p>
            <w:pPr>
              <w:pStyle w:val="17"/>
              <w:adjustRightInd/>
              <w:spacing w:line="336" w:lineRule="auto"/>
              <w:ind w:firstLine="482" w:firstLineChars="200"/>
              <w:jc w:val="both"/>
              <w:rPr>
                <w:rFonts w:hint="eastAsia"/>
                <w:b/>
                <w:bCs/>
                <w:color w:val="auto"/>
              </w:rPr>
            </w:pPr>
            <w:r>
              <w:rPr>
                <w:b/>
                <w:bCs/>
                <w:color w:val="auto"/>
              </w:rPr>
              <w:t>5.</w:t>
            </w:r>
            <w:r>
              <w:rPr>
                <w:rFonts w:hint="eastAsia"/>
                <w:b/>
                <w:bCs/>
                <w:color w:val="auto"/>
              </w:rPr>
              <w:t>4质量保证和质量控制</w:t>
            </w:r>
          </w:p>
          <w:p>
            <w:pPr>
              <w:pStyle w:val="17"/>
              <w:adjustRightInd/>
              <w:spacing w:line="336" w:lineRule="auto"/>
              <w:ind w:firstLine="480" w:firstLineChars="200"/>
              <w:jc w:val="both"/>
              <w:rPr>
                <w:color w:val="auto"/>
              </w:rPr>
            </w:pPr>
            <w:r>
              <w:rPr>
                <w:rFonts w:hint="eastAsia"/>
                <w:color w:val="auto"/>
              </w:rPr>
              <w:t>（1）废气</w:t>
            </w:r>
          </w:p>
          <w:p>
            <w:pPr>
              <w:pStyle w:val="17"/>
              <w:adjustRightInd/>
              <w:spacing w:line="336" w:lineRule="auto"/>
              <w:ind w:firstLine="480" w:firstLineChars="200"/>
              <w:jc w:val="both"/>
              <w:rPr>
                <w:color w:val="auto"/>
              </w:rPr>
            </w:pPr>
            <w:r>
              <w:rPr>
                <w:color w:val="auto"/>
              </w:rPr>
              <w:t>废气监测仪器均符合国家有关标准或技术要求，仪器经计量部门检定合格，并在检定有效期内使用，监测前对使用的仪器均进行浓度和流量校准，按规定对废气测试仪进行现场检漏，采样和分析过程严格按照《固定污染源排气中颗粒物测定与气态污染物采样方法》（GB/T16157-1996）、《固定污染源监测质量保证与质量控制技术规范（试行）》（HJ/T373-2007）和《固定源废气监测技术规范》（HJ/T397-2007）执行。用吸收液、吸附管、滤膜/滤筒采样的项目，在进行现场采样时，每批至少留一个采样管不采样，并与其它样品管一样对待，为全程序空白样。凡能采集平行样的项目，每批采集不少于10%的现场平行样。测定值之差与平均值比较的相对偏差不得超过20%。</w:t>
            </w:r>
          </w:p>
          <w:p>
            <w:pPr>
              <w:pStyle w:val="17"/>
              <w:adjustRightInd/>
              <w:spacing w:line="336" w:lineRule="auto"/>
              <w:ind w:firstLine="480" w:firstLineChars="200"/>
              <w:jc w:val="both"/>
              <w:rPr>
                <w:color w:val="auto"/>
              </w:rPr>
            </w:pPr>
            <w:r>
              <w:rPr>
                <w:color w:val="auto"/>
              </w:rPr>
              <w:t>（2）废水</w:t>
            </w:r>
          </w:p>
          <w:p>
            <w:pPr>
              <w:pStyle w:val="17"/>
              <w:adjustRightInd/>
              <w:spacing w:line="336" w:lineRule="auto"/>
              <w:ind w:firstLine="480" w:firstLineChars="200"/>
              <w:jc w:val="both"/>
              <w:rPr>
                <w:color w:val="auto"/>
              </w:rPr>
            </w:pPr>
            <w:r>
              <w:rPr>
                <w:rFonts w:hint="eastAsia"/>
                <w:color w:val="auto"/>
                <w:lang w:eastAsia="zh-CN"/>
              </w:rPr>
              <w:t>浙江甬信检测技术有限公司</w:t>
            </w:r>
            <w:r>
              <w:rPr>
                <w:color w:val="auto"/>
              </w:rPr>
              <w:t>承诺：废水监测仪器符合国家有关标准或技术要求，仪器经计量部门检定合格，并在检定有效期内使用。采样、运输、保存、分析全过程严格按照《地表水和污水监测技术规范》（HJ/T91-2002）、《水质采样样品的保存和管理技术规定》（HJ493-2009）、《水质采样技术指导》（HJ494-2009）、《水质采样方案设计技术指导》（HJ495-2009）规定执行。每批样品除pH、悬浮物外，其余项目均需加采全程序空白样。每批样品除悬浮物外，其余每个项目加采不少于10%的现场平行样，不足10个样品至少要加采一个平行样。</w:t>
            </w:r>
          </w:p>
          <w:p>
            <w:pPr>
              <w:pStyle w:val="17"/>
              <w:adjustRightInd/>
              <w:spacing w:line="336" w:lineRule="auto"/>
              <w:ind w:firstLine="480" w:firstLineChars="200"/>
              <w:jc w:val="both"/>
              <w:rPr>
                <w:color w:val="auto"/>
              </w:rPr>
            </w:pPr>
            <w:r>
              <w:rPr>
                <w:rFonts w:hint="eastAsia"/>
                <w:color w:val="auto"/>
              </w:rPr>
              <w:t>（3）噪声</w:t>
            </w:r>
          </w:p>
          <w:p>
            <w:pPr>
              <w:pStyle w:val="17"/>
              <w:adjustRightInd/>
              <w:spacing w:line="336" w:lineRule="auto"/>
              <w:ind w:firstLine="480" w:firstLineChars="200"/>
              <w:jc w:val="both"/>
              <w:rPr>
                <w:color w:val="auto"/>
              </w:rPr>
            </w:pPr>
            <w:r>
              <w:rPr>
                <w:color w:val="auto"/>
              </w:rPr>
              <w:t>噪声监测仪器和校准仪器应经计量部门检定合格，并在检定有效期内使用，仪器使用前后必须在现场进行声学校准，其前后校准的测量仪器示值偏差不得大于0.5dB。</w:t>
            </w:r>
          </w:p>
          <w:p>
            <w:pPr>
              <w:pStyle w:val="17"/>
              <w:adjustRightInd/>
              <w:spacing w:line="336" w:lineRule="auto"/>
              <w:jc w:val="both"/>
              <w:rPr>
                <w:color w:val="auto"/>
              </w:rPr>
            </w:pPr>
          </w:p>
          <w:p>
            <w:pPr>
              <w:pStyle w:val="19"/>
              <w:spacing w:line="360" w:lineRule="auto"/>
              <w:ind w:firstLine="0" w:firstLineChars="0"/>
              <w:rPr>
                <w:color w:val="auto"/>
                <w:szCs w:val="21"/>
              </w:rPr>
            </w:pPr>
          </w:p>
          <w:p>
            <w:pPr>
              <w:pStyle w:val="19"/>
              <w:spacing w:line="360" w:lineRule="auto"/>
              <w:ind w:firstLine="0" w:firstLineChars="0"/>
              <w:rPr>
                <w:color w:val="auto"/>
                <w:szCs w:val="21"/>
              </w:rPr>
            </w:pPr>
          </w:p>
          <w:p>
            <w:pPr>
              <w:pStyle w:val="19"/>
              <w:spacing w:line="360" w:lineRule="auto"/>
              <w:ind w:firstLine="0" w:firstLineChars="0"/>
              <w:rPr>
                <w:color w:val="auto"/>
                <w:szCs w:val="21"/>
              </w:rPr>
            </w:pPr>
          </w:p>
          <w:p>
            <w:pPr>
              <w:pStyle w:val="19"/>
              <w:spacing w:line="360" w:lineRule="auto"/>
              <w:ind w:firstLine="0" w:firstLineChars="0"/>
              <w:rPr>
                <w:color w:val="auto"/>
                <w:szCs w:val="21"/>
              </w:rPr>
            </w:pPr>
          </w:p>
          <w:p>
            <w:pPr>
              <w:pStyle w:val="19"/>
              <w:spacing w:line="360" w:lineRule="auto"/>
              <w:ind w:firstLine="0" w:firstLineChars="0"/>
              <w:rPr>
                <w:color w:val="auto"/>
                <w:szCs w:val="21"/>
              </w:rPr>
            </w:pPr>
          </w:p>
          <w:p>
            <w:pPr>
              <w:tabs>
                <w:tab w:val="left" w:pos="998"/>
              </w:tabs>
              <w:adjustRightInd/>
              <w:snapToGrid/>
              <w:spacing w:after="0"/>
              <w:rPr>
                <w:rFonts w:ascii="Times New Roman" w:hAnsi="Times New Roman" w:eastAsia="宋体"/>
                <w:color w:val="auto"/>
              </w:rPr>
            </w:pPr>
          </w:p>
        </w:tc>
      </w:tr>
    </w:tbl>
    <w:p>
      <w:pPr>
        <w:adjustRightInd/>
        <w:snapToGrid/>
        <w:spacing w:after="0" w:line="360" w:lineRule="auto"/>
        <w:rPr>
          <w:rFonts w:ascii="Times New Roman" w:hAnsi="Times New Roman" w:eastAsia="宋体"/>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20" w:name="_Toc11851"/>
      <w:bookmarkStart w:id="21" w:name="_Toc25338"/>
      <w:r>
        <w:rPr>
          <w:rFonts w:ascii="Times New Roman" w:hAnsi="Times New Roman" w:eastAsia="宋体"/>
          <w:color w:val="auto"/>
        </w:rPr>
        <w:t>表六</w:t>
      </w:r>
      <w:bookmarkEnd w:id="20"/>
      <w:r>
        <w:rPr>
          <w:rFonts w:ascii="Times New Roman" w:hAnsi="Times New Roman" w:eastAsia="宋体"/>
          <w:color w:val="auto"/>
        </w:rPr>
        <w:t>验收监测内容</w:t>
      </w:r>
      <w:bookmarkEnd w:id="21"/>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4" w:hRule="atLeast"/>
          <w:jc w:val="center"/>
        </w:trPr>
        <w:tc>
          <w:tcPr>
            <w:tcW w:w="5000" w:type="pct"/>
            <w:noWrap w:val="0"/>
            <w:vAlign w:val="top"/>
          </w:tcPr>
          <w:p>
            <w:pPr>
              <w:widowControl w:val="0"/>
              <w:adjustRightInd/>
              <w:snapToGrid/>
              <w:spacing w:after="0" w:line="336" w:lineRule="auto"/>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验收监测内容：</w:t>
            </w:r>
          </w:p>
          <w:p>
            <w:pPr>
              <w:widowControl w:val="0"/>
              <w:adjustRightInd/>
              <w:snapToGrid/>
              <w:spacing w:after="0" w:line="336" w:lineRule="auto"/>
              <w:ind w:firstLine="482" w:firstLineChars="200"/>
              <w:jc w:val="both"/>
              <w:rPr>
                <w:rFonts w:ascii="Times New Roman" w:hAnsi="Times New Roman" w:eastAsia="宋体"/>
                <w:color w:val="auto"/>
                <w:sz w:val="24"/>
                <w:szCs w:val="32"/>
              </w:rPr>
            </w:pPr>
            <w:r>
              <w:rPr>
                <w:rFonts w:ascii="Times New Roman" w:hAnsi="Times New Roman" w:eastAsia="宋体"/>
                <w:b/>
                <w:color w:val="auto"/>
                <w:kern w:val="2"/>
                <w:sz w:val="24"/>
                <w:szCs w:val="24"/>
              </w:rPr>
              <w:t>6.1废气</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监测项目、频次详见下表。</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表6-1废气监测内容</w:t>
            </w:r>
          </w:p>
          <w:tbl>
            <w:tblPr>
              <w:tblStyle w:val="11"/>
              <w:tblW w:w="4997"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636"/>
              <w:gridCol w:w="3589"/>
              <w:gridCol w:w="1636"/>
              <w:gridCol w:w="21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6" w:hRule="atLeast"/>
              </w:trPr>
              <w:tc>
                <w:tcPr>
                  <w:tcW w:w="904" w:type="pct"/>
                  <w:tcBorders>
                    <w:top w:val="single" w:color="000000" w:sz="12" w:space="0"/>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2"/>
                      <w:lang w:val="en-US" w:eastAsia="zh-CN" w:bidi="ar-SA"/>
                    </w:rPr>
                  </w:pPr>
                  <w:r>
                    <w:rPr>
                      <w:rFonts w:hint="default" w:ascii="Times New Roman" w:hAnsi="Times New Roman" w:eastAsia="宋体" w:cs="Times New Roman"/>
                      <w:color w:val="auto"/>
                      <w:sz w:val="21"/>
                      <w:lang w:val="en-US" w:eastAsia="zh-CN"/>
                    </w:rPr>
                    <w:t>类别</w:t>
                  </w:r>
                </w:p>
              </w:tc>
              <w:tc>
                <w:tcPr>
                  <w:tcW w:w="1983" w:type="pct"/>
                  <w:tcBorders>
                    <w:top w:val="single" w:color="000000" w:sz="12" w:space="0"/>
                  </w:tcBorders>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2"/>
                      <w:lang w:val="en-US" w:eastAsia="zh-CN" w:bidi="ar-SA"/>
                    </w:rPr>
                  </w:pPr>
                  <w:r>
                    <w:rPr>
                      <w:rFonts w:hint="default" w:ascii="Times New Roman" w:hAnsi="Times New Roman" w:eastAsia="宋体" w:cs="Times New Roman"/>
                      <w:color w:val="auto"/>
                      <w:sz w:val="21"/>
                      <w:lang w:val="en-US" w:eastAsia="zh-CN"/>
                    </w:rPr>
                    <w:t>监测点位</w:t>
                  </w:r>
                </w:p>
              </w:tc>
              <w:tc>
                <w:tcPr>
                  <w:tcW w:w="904" w:type="pct"/>
                  <w:tcBorders>
                    <w:top w:val="single" w:color="000000" w:sz="12" w:space="0"/>
                  </w:tcBorders>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2"/>
                      <w:lang w:val="en-US" w:eastAsia="zh-CN" w:bidi="ar-SA"/>
                    </w:rPr>
                  </w:pPr>
                  <w:r>
                    <w:rPr>
                      <w:rFonts w:hint="eastAsia" w:ascii="Times New Roman" w:hAnsi="Times New Roman" w:eastAsia="宋体" w:cs="Times New Roman"/>
                      <w:color w:val="auto"/>
                      <w:sz w:val="21"/>
                      <w:lang w:val="en-US" w:eastAsia="zh-CN"/>
                    </w:rPr>
                    <w:t>监测因子</w:t>
                  </w:r>
                </w:p>
              </w:tc>
              <w:tc>
                <w:tcPr>
                  <w:tcW w:w="1208" w:type="pct"/>
                  <w:tcBorders>
                    <w:top w:val="single" w:color="000000" w:sz="12" w:space="0"/>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2"/>
                      <w:lang w:val="en-US" w:eastAsia="zh-CN" w:bidi="ar-SA"/>
                    </w:rPr>
                  </w:pPr>
                  <w:r>
                    <w:rPr>
                      <w:rFonts w:hint="default" w:ascii="Times New Roman" w:hAnsi="Times New Roman" w:eastAsia="宋体" w:cs="Times New Roman"/>
                      <w:color w:val="auto"/>
                      <w:sz w:val="21"/>
                      <w:lang w:val="en-US" w:eastAsia="zh-CN"/>
                    </w:rPr>
                    <w:t>监测频次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restart"/>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有组织废气</w:t>
                  </w:r>
                </w:p>
              </w:tc>
              <w:tc>
                <w:tcPr>
                  <w:tcW w:w="1983" w:type="pct"/>
                  <w:vMerge w:val="restar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DA001酸雾废气排放口</w:t>
                  </w: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氯化氢</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vMerge w:val="continue"/>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硫酸雾</w:t>
                  </w:r>
                </w:p>
              </w:tc>
              <w:tc>
                <w:tcPr>
                  <w:tcW w:w="1208" w:type="pct"/>
                  <w:tcBorders>
                    <w:right w:val="nil"/>
                  </w:tcBorders>
                  <w:noWrap w:val="0"/>
                  <w:vAlign w:val="center"/>
                </w:tcPr>
                <w:p>
                  <w:pPr>
                    <w:pStyle w:val="20"/>
                    <w:tabs>
                      <w:tab w:val="left" w:pos="-2848"/>
                    </w:tabs>
                    <w:adjustRightInd/>
                    <w:snapToGrid/>
                    <w:spacing w:after="0"/>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DA002喷塑废气排放口</w:t>
                  </w: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ascii="Times New Roman" w:hAnsi="Times New Roman" w:eastAsia="宋体" w:cs="Times New Roman"/>
                      <w:color w:val="auto"/>
                      <w:sz w:val="21"/>
                    </w:rPr>
                    <w:t>颗粒物</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restar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DA003浸漆晾干废气排放口</w:t>
                  </w: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ascii="Times New Roman" w:hAnsi="Times New Roman" w:eastAsia="宋体" w:cs="Times New Roman"/>
                      <w:color w:val="auto"/>
                      <w:sz w:val="21"/>
                    </w:rPr>
                    <w:t>臭气浓度</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eastAsia="zh-CN"/>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ascii="Times New Roman" w:hAnsi="Times New Roman" w:eastAsia="宋体" w:cs="Times New Roman"/>
                      <w:color w:val="auto"/>
                      <w:sz w:val="21"/>
                    </w:rPr>
                    <w:t>颗粒物</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非甲烷总烃</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restar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DA004固化废气排放口</w:t>
                  </w: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ascii="Times New Roman" w:hAnsi="Times New Roman" w:eastAsia="宋体" w:cs="Times New Roman"/>
                      <w:color w:val="auto"/>
                      <w:sz w:val="21"/>
                    </w:rPr>
                    <w:t>臭气浓度</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ascii="Times New Roman" w:hAnsi="Times New Roman" w:eastAsia="宋体" w:cs="Times New Roman"/>
                      <w:color w:val="auto"/>
                      <w:sz w:val="21"/>
                    </w:rPr>
                    <w:t>颗粒物</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非甲烷总烃</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二氧化硫</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氮氧化物</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restart"/>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无组织废气</w:t>
                  </w:r>
                </w:p>
              </w:tc>
              <w:tc>
                <w:tcPr>
                  <w:tcW w:w="1983" w:type="pct"/>
                  <w:vMerge w:val="restar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厂界</w:t>
                  </w:r>
                  <w:r>
                    <w:rPr>
                      <w:rFonts w:hint="eastAsia" w:ascii="Times New Roman" w:hAnsi="Times New Roman" w:eastAsia="宋体" w:cs="Times New Roman"/>
                      <w:color w:val="auto"/>
                      <w:sz w:val="21"/>
                      <w:lang w:val="en-US" w:eastAsia="zh-CN"/>
                    </w:rPr>
                    <w:t>无组织</w:t>
                  </w: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颗粒物</w:t>
                  </w:r>
                </w:p>
              </w:tc>
              <w:tc>
                <w:tcPr>
                  <w:tcW w:w="1208" w:type="pct"/>
                  <w:tcBorders>
                    <w:righ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臭气浓度</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904" w:type="pc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非甲烷总烃</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硫酸雾</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983"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904"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氯化氢</w:t>
                  </w:r>
                </w:p>
              </w:tc>
              <w:tc>
                <w:tcPr>
                  <w:tcW w:w="1208" w:type="pct"/>
                  <w:tcBorders>
                    <w:right w:val="nil"/>
                  </w:tcBorders>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restart"/>
                  <w:noWrap w:val="0"/>
                  <w:vAlign w:val="center"/>
                </w:tcPr>
                <w:p>
                  <w:pPr>
                    <w:pStyle w:val="20"/>
                    <w:tabs>
                      <w:tab w:val="left" w:pos="-2848"/>
                    </w:tabs>
                    <w:adjustRightInd/>
                    <w:snapToGrid/>
                    <w:spacing w:after="0"/>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厂区内</w:t>
                  </w:r>
                </w:p>
              </w:tc>
              <w:tc>
                <w:tcPr>
                  <w:tcW w:w="904" w:type="pct"/>
                  <w:vMerge w:val="restart"/>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非甲烷总烃</w:t>
                  </w:r>
                </w:p>
              </w:tc>
              <w:tc>
                <w:tcPr>
                  <w:tcW w:w="1208" w:type="pct"/>
                  <w:tcBorders>
                    <w:right w:val="nil"/>
                  </w:tcBorders>
                  <w:noWrap w:val="0"/>
                  <w:vAlign w:val="center"/>
                </w:tcPr>
                <w:p>
                  <w:pPr>
                    <w:pStyle w:val="20"/>
                    <w:tabs>
                      <w:tab w:val="left" w:pos="-2848"/>
                    </w:tabs>
                    <w:adjustRightInd/>
                    <w:snapToGrid/>
                    <w:spacing w:after="0"/>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rPr>
              <w:tc>
                <w:tcPr>
                  <w:tcW w:w="904" w:type="pct"/>
                  <w:vMerge w:val="continue"/>
                  <w:tcBorders>
                    <w:left w:val="nil"/>
                    <w:bottom w:val="single" w:color="000000" w:sz="12" w:space="0"/>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rPr>
                  </w:pPr>
                </w:p>
              </w:tc>
              <w:tc>
                <w:tcPr>
                  <w:tcW w:w="1983" w:type="pct"/>
                  <w:vMerge w:val="continue"/>
                  <w:tcBorders>
                    <w:bottom w:val="single" w:color="000000" w:sz="12" w:space="0"/>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rPr>
                  </w:pPr>
                </w:p>
              </w:tc>
              <w:tc>
                <w:tcPr>
                  <w:tcW w:w="904" w:type="pct"/>
                  <w:vMerge w:val="continue"/>
                  <w:tcBorders>
                    <w:bottom w:val="single" w:color="000000" w:sz="12" w:space="0"/>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lang w:val="en-US" w:eastAsia="zh-CN"/>
                    </w:rPr>
                  </w:pPr>
                </w:p>
              </w:tc>
              <w:tc>
                <w:tcPr>
                  <w:tcW w:w="1208" w:type="pct"/>
                  <w:tcBorders>
                    <w:bottom w:val="single" w:color="000000" w:sz="12" w:space="0"/>
                    <w:right w:val="nil"/>
                  </w:tcBorders>
                  <w:noWrap w:val="0"/>
                  <w:vAlign w:val="center"/>
                </w:tcPr>
                <w:p>
                  <w:pPr>
                    <w:pStyle w:val="20"/>
                    <w:tabs>
                      <w:tab w:val="left" w:pos="-2848"/>
                    </w:tabs>
                    <w:adjustRightInd/>
                    <w:snapToGrid/>
                    <w:spacing w:after="0"/>
                    <w:rPr>
                      <w:rFonts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3</w:t>
                  </w:r>
                  <w:r>
                    <w:rPr>
                      <w:rFonts w:ascii="Times New Roman" w:hAnsi="Times New Roman" w:eastAsia="宋体" w:cs="Times New Roman"/>
                      <w:color w:val="auto"/>
                      <w:sz w:val="21"/>
                    </w:rPr>
                    <w:t>次/</w:t>
                  </w:r>
                  <w:r>
                    <w:rPr>
                      <w:rFonts w:hint="eastAsia" w:ascii="Times New Roman" w:hAnsi="Times New Roman" w:eastAsia="宋体" w:cs="Times New Roman"/>
                      <w:color w:val="auto"/>
                      <w:sz w:val="21"/>
                      <w:lang w:val="en-US" w:eastAsia="zh-CN"/>
                    </w:rPr>
                    <w:t>天，共两天</w:t>
                  </w:r>
                </w:p>
              </w:tc>
            </w:tr>
          </w:tbl>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6.2废水</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本项监测项目为</w:t>
            </w:r>
            <w:r>
              <w:rPr>
                <w:rFonts w:hint="eastAsia" w:ascii="Times New Roman" w:hAnsi="Times New Roman" w:eastAsia="宋体"/>
                <w:bCs/>
                <w:color w:val="auto"/>
                <w:kern w:val="2"/>
                <w:sz w:val="24"/>
                <w:szCs w:val="24"/>
              </w:rPr>
              <w:t>生产废水</w:t>
            </w:r>
            <w:r>
              <w:rPr>
                <w:rFonts w:ascii="Times New Roman" w:hAnsi="Times New Roman" w:eastAsia="宋体"/>
                <w:bCs/>
                <w:color w:val="auto"/>
                <w:kern w:val="2"/>
                <w:sz w:val="24"/>
                <w:szCs w:val="24"/>
              </w:rPr>
              <w:t>，监测因子、频次详见下表。</w:t>
            </w:r>
          </w:p>
          <w:p>
            <w:pPr>
              <w:widowControl w:val="0"/>
              <w:adjustRightInd/>
              <w:snapToGrid/>
              <w:spacing w:after="0"/>
              <w:jc w:val="center"/>
              <w:rPr>
                <w:rFonts w:ascii="Times New Roman" w:hAnsi="Times New Roman" w:eastAsia="宋体"/>
                <w:b/>
                <w:color w:val="auto"/>
                <w:sz w:val="21"/>
              </w:rPr>
            </w:pPr>
            <w:r>
              <w:rPr>
                <w:rFonts w:ascii="Times New Roman" w:hAnsi="Times New Roman" w:eastAsia="宋体"/>
                <w:b/>
                <w:color w:val="auto"/>
                <w:sz w:val="21"/>
              </w:rPr>
              <w:t>表6-2废水监测内容</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11"/>
              <w:gridCol w:w="4436"/>
              <w:gridCol w:w="1157"/>
              <w:gridCol w:w="1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编号</w:t>
                  </w:r>
                </w:p>
              </w:tc>
              <w:tc>
                <w:tcPr>
                  <w:tcW w:w="1211"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监测内容</w:t>
                  </w:r>
                </w:p>
              </w:tc>
              <w:tc>
                <w:tcPr>
                  <w:tcW w:w="4436"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监测因子</w:t>
                  </w:r>
                </w:p>
              </w:tc>
              <w:tc>
                <w:tcPr>
                  <w:tcW w:w="1157"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监测点位</w:t>
                  </w:r>
                </w:p>
              </w:tc>
              <w:tc>
                <w:tcPr>
                  <w:tcW w:w="1211"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93"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1</w:t>
                  </w:r>
                </w:p>
              </w:tc>
              <w:tc>
                <w:tcPr>
                  <w:tcW w:w="1211" w:type="dxa"/>
                  <w:noWrap w:val="0"/>
                  <w:vAlign w:val="center"/>
                </w:tcPr>
                <w:p>
                  <w:pPr>
                    <w:pStyle w:val="20"/>
                    <w:tabs>
                      <w:tab w:val="left" w:pos="-2848"/>
                    </w:tabs>
                    <w:adjustRightInd/>
                    <w:snapToGrid/>
                    <w:spacing w:after="0"/>
                    <w:rPr>
                      <w:rFonts w:hint="eastAsia" w:ascii="Times New Roman" w:hAnsi="Times New Roman" w:eastAsia="宋体"/>
                      <w:color w:val="auto"/>
                      <w:sz w:val="21"/>
                    </w:rPr>
                  </w:pPr>
                  <w:r>
                    <w:rPr>
                      <w:rFonts w:hint="eastAsia" w:ascii="Times New Roman" w:hAnsi="Times New Roman" w:eastAsia="宋体"/>
                      <w:color w:val="auto"/>
                      <w:sz w:val="21"/>
                    </w:rPr>
                    <w:t>生产废水</w:t>
                  </w:r>
                </w:p>
              </w:tc>
              <w:tc>
                <w:tcPr>
                  <w:tcW w:w="4436" w:type="dxa"/>
                  <w:noWrap w:val="0"/>
                  <w:vAlign w:val="center"/>
                </w:tcPr>
                <w:p>
                  <w:pPr>
                    <w:pStyle w:val="20"/>
                    <w:tabs>
                      <w:tab w:val="left" w:pos="-2848"/>
                    </w:tabs>
                    <w:adjustRightInd/>
                    <w:snapToGrid/>
                    <w:spacing w:after="0"/>
                    <w:rPr>
                      <w:rFonts w:hint="default" w:ascii="Times New Roman" w:hAnsi="Times New Roman" w:eastAsia="宋体"/>
                      <w:color w:val="auto"/>
                      <w:sz w:val="21"/>
                      <w:lang w:val="en-US" w:eastAsia="zh-CN"/>
                    </w:rPr>
                  </w:pPr>
                  <w:r>
                    <w:rPr>
                      <w:rFonts w:hint="eastAsia" w:ascii="Times New Roman" w:hAnsi="Times New Roman" w:eastAsia="宋体"/>
                      <w:color w:val="auto"/>
                      <w:sz w:val="21"/>
                    </w:rPr>
                    <w:t>pH值</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化学需氧量</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石油类</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悬浮物</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阴离子表面活性剂</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总锰</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总铁</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氨氮（NH3-N)</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总磷（以P计）</w:t>
                  </w:r>
                  <w:r>
                    <w:rPr>
                      <w:rFonts w:hint="eastAsia" w:ascii="Times New Roman" w:hAnsi="Times New Roman" w:eastAsia="宋体"/>
                      <w:color w:val="auto"/>
                      <w:sz w:val="21"/>
                      <w:lang w:eastAsia="zh-CN"/>
                    </w:rPr>
                    <w:t>、</w:t>
                  </w:r>
                  <w:r>
                    <w:rPr>
                      <w:rFonts w:hint="eastAsia" w:ascii="Times New Roman" w:hAnsi="Times New Roman" w:eastAsia="宋体"/>
                      <w:color w:val="auto"/>
                      <w:sz w:val="21"/>
                    </w:rPr>
                    <w:t>总氮（以N计）</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总锌</w:t>
                  </w:r>
                </w:p>
              </w:tc>
              <w:tc>
                <w:tcPr>
                  <w:tcW w:w="1157" w:type="dxa"/>
                  <w:noWrap w:val="0"/>
                  <w:vAlign w:val="center"/>
                </w:tcPr>
                <w:p>
                  <w:pPr>
                    <w:pStyle w:val="20"/>
                    <w:tabs>
                      <w:tab w:val="left" w:pos="-2848"/>
                    </w:tabs>
                    <w:adjustRightInd/>
                    <w:snapToGrid/>
                    <w:spacing w:after="0"/>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生产废水排口</w:t>
                  </w:r>
                </w:p>
              </w:tc>
              <w:tc>
                <w:tcPr>
                  <w:tcW w:w="1211" w:type="dxa"/>
                  <w:noWrap w:val="0"/>
                  <w:vAlign w:val="center"/>
                </w:tcPr>
                <w:p>
                  <w:pPr>
                    <w:pStyle w:val="20"/>
                    <w:tabs>
                      <w:tab w:val="left" w:pos="-2848"/>
                    </w:tabs>
                    <w:adjustRightInd/>
                    <w:snapToGrid/>
                    <w:spacing w:after="0"/>
                    <w:rPr>
                      <w:rFonts w:ascii="Times New Roman" w:hAnsi="Times New Roman" w:eastAsia="宋体"/>
                      <w:color w:val="auto"/>
                      <w:sz w:val="21"/>
                    </w:rPr>
                  </w:pPr>
                  <w:r>
                    <w:rPr>
                      <w:rFonts w:ascii="Times New Roman" w:hAnsi="Times New Roman" w:eastAsia="宋体"/>
                      <w:color w:val="auto"/>
                      <w:sz w:val="21"/>
                    </w:rPr>
                    <w:t>2天，每天4次</w:t>
                  </w:r>
                </w:p>
              </w:tc>
            </w:tr>
          </w:tbl>
          <w:p>
            <w:pPr>
              <w:widowControl w:val="0"/>
              <w:adjustRightInd/>
              <w:snapToGrid/>
              <w:spacing w:after="0" w:line="336" w:lineRule="auto"/>
              <w:ind w:firstLine="482" w:firstLineChars="200"/>
              <w:jc w:val="both"/>
              <w:rPr>
                <w:rFonts w:ascii="Times New Roman" w:hAnsi="Times New Roman" w:eastAsia="宋体"/>
                <w:bCs/>
                <w:color w:val="auto"/>
                <w:kern w:val="2"/>
                <w:sz w:val="24"/>
                <w:szCs w:val="24"/>
              </w:rPr>
            </w:pPr>
            <w:r>
              <w:rPr>
                <w:rFonts w:ascii="Times New Roman" w:hAnsi="Times New Roman" w:eastAsia="宋体"/>
                <w:b/>
                <w:color w:val="auto"/>
                <w:kern w:val="2"/>
                <w:sz w:val="24"/>
                <w:szCs w:val="24"/>
              </w:rPr>
              <w:t>6.3噪声</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沿厂区法定厂界设厂界噪声监测点。</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厂界噪声监测内容见下表，监测点位见监测报告。</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表6-3噪声监测内容</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4500"/>
              <w:gridCol w:w="2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ascii="Times New Roman" w:hAnsi="Times New Roman" w:eastAsia="宋体"/>
                      <w:color w:val="auto"/>
                      <w:sz w:val="21"/>
                      <w:szCs w:val="21"/>
                    </w:rPr>
                    <w:t>监测项目</w:t>
                  </w:r>
                </w:p>
              </w:tc>
              <w:tc>
                <w:tcPr>
                  <w:tcW w:w="4500"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ascii="Times New Roman" w:hAnsi="Times New Roman" w:eastAsia="宋体"/>
                      <w:color w:val="auto"/>
                      <w:sz w:val="21"/>
                      <w:szCs w:val="21"/>
                    </w:rPr>
                    <w:t>监测点位</w:t>
                  </w:r>
                </w:p>
              </w:tc>
              <w:tc>
                <w:tcPr>
                  <w:tcW w:w="2462"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ascii="Times New Roman" w:hAnsi="Times New Roman" w:eastAsia="宋体"/>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3"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ascii="Times New Roman" w:hAnsi="Times New Roman" w:eastAsia="宋体"/>
                      <w:color w:val="auto"/>
                      <w:sz w:val="21"/>
                      <w:szCs w:val="21"/>
                    </w:rPr>
                    <w:t>厂界噪声</w:t>
                  </w:r>
                </w:p>
              </w:tc>
              <w:tc>
                <w:tcPr>
                  <w:tcW w:w="4500"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ascii="Times New Roman" w:hAnsi="Times New Roman" w:eastAsia="宋体"/>
                      <w:color w:val="auto"/>
                      <w:sz w:val="21"/>
                      <w:szCs w:val="21"/>
                    </w:rPr>
                    <w:t>厂界东、南、西、北侧各设1个监测点位</w:t>
                  </w:r>
                </w:p>
              </w:tc>
              <w:tc>
                <w:tcPr>
                  <w:tcW w:w="2462"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昼间</w:t>
                  </w:r>
                  <w:r>
                    <w:rPr>
                      <w:rFonts w:ascii="Times New Roman" w:hAnsi="Times New Roman" w:eastAsia="宋体"/>
                      <w:color w:val="auto"/>
                      <w:sz w:val="21"/>
                      <w:szCs w:val="21"/>
                    </w:rPr>
                    <w:t>1次，共2天</w:t>
                  </w:r>
                </w:p>
              </w:tc>
            </w:tr>
          </w:tbl>
          <w:p>
            <w:pPr>
              <w:adjustRightInd/>
              <w:snapToGrid/>
              <w:spacing w:after="0" w:line="336"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本项目废气、废水、厂界噪声监测点位详见下图。</w:t>
            </w:r>
          </w:p>
          <w:p>
            <w:pPr>
              <w:widowControl w:val="0"/>
              <w:adjustRightInd/>
              <w:snapToGrid/>
              <w:spacing w:after="0"/>
              <w:jc w:val="center"/>
              <w:rPr>
                <w:rFonts w:hint="eastAsia" w:ascii="Times New Roman" w:hAnsi="Times New Roman" w:eastAsia="宋体" w:cs="Times New Roman"/>
                <w:b/>
                <w:bCs/>
                <w:color w:val="auto"/>
                <w:sz w:val="21"/>
                <w:szCs w:val="21"/>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5220970</wp:posOffset>
                      </wp:positionH>
                      <wp:positionV relativeFrom="paragraph">
                        <wp:posOffset>297180</wp:posOffset>
                      </wp:positionV>
                      <wp:extent cx="395605" cy="32639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95605" cy="326390"/>
                              </a:xfrm>
                              <a:prstGeom prst="rect">
                                <a:avLst/>
                              </a:prstGeom>
                              <a:noFill/>
                              <a:ln>
                                <a:noFill/>
                              </a:ln>
                            </wps:spPr>
                            <wps:txbx>
                              <w:txbxContent>
                                <w:p>
                                  <w:pPr>
                                    <w:rPr>
                                      <w:rFonts w:hint="eastAsia" w:eastAsia="微软雅黑"/>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11.1pt;margin-top:23.4pt;height:25.7pt;width:31.15pt;z-index:251671552;mso-width-relative:page;mso-height-relative:page;" filled="f" stroked="f" coordsize="21600,21600" o:gfxdata="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OyOOdYA&#10;AAAJAQAADwAAAAAAAAABACAAAAAiAAAAZHJzL2Rvd25yZXYueG1sUEsBAhQAFAAAAAgAh07iQNIb&#10;5ImvAQAATwMAAA4AAAAAAAAAAQAgAAAAJQEAAGRycy9lMm9Eb2MueG1sUEsFBgAAAAAGAAYAWQEA&#10;AEYFAAAAAA==&#10;">
                      <v:fill on="f" focussize="0,0"/>
                      <v:stroke on="f"/>
                      <v:imagedata o:title=""/>
                      <o:lock v:ext="edit" aspectratio="f"/>
                      <v:textbox>
                        <w:txbxContent>
                          <w:p>
                            <w:pPr>
                              <w:rPr>
                                <w:rFonts w:hint="eastAsia" w:eastAsia="微软雅黑"/>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5323205</wp:posOffset>
                      </wp:positionH>
                      <wp:positionV relativeFrom="paragraph">
                        <wp:posOffset>502285</wp:posOffset>
                      </wp:positionV>
                      <wp:extent cx="15240" cy="600710"/>
                      <wp:effectExtent l="36195" t="0" r="62865" b="8890"/>
                      <wp:wrapNone/>
                      <wp:docPr id="35" name="直接连接符 35"/>
                      <wp:cNvGraphicFramePr/>
                      <a:graphic xmlns:a="http://schemas.openxmlformats.org/drawingml/2006/main">
                        <a:graphicData uri="http://schemas.microsoft.com/office/word/2010/wordprocessingShape">
                          <wps:wsp>
                            <wps:cNvSpPr/>
                            <wps:spPr>
                              <a:xfrm flipV="1">
                                <a:off x="0" y="0"/>
                                <a:ext cx="15240" cy="6007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9.15pt;margin-top:39.55pt;height:47.3pt;width:1.2pt;z-index:251670528;mso-width-relative:page;mso-height-relative:page;" filled="f" stroked="t" coordsize="21600,21600" o:gfxdata="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&#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sRg32AAAAAoBAAAPAAAAAAAAAAEAIAAAACIAAABk&#10;cnMvZG93bnJldi54bWxQSwECFAAUAAAACACHTuJAijtPuwYCAAD0AwAADgAAAAAAAAABACAAAAAn&#10;AQAAZHJzL2Uyb0RvYy54bWxQSwUGAAAAAAYABgBZAQAAnwUAAAAA&#10;">
                      <v:fill on="f" focussize="0,0"/>
                      <v:stroke color="#000000" joinstyle="round" endarrow="open"/>
                      <v:imagedata o:title=""/>
                      <o:lock v:ext="edit" aspectratio="f"/>
                    </v:line>
                  </w:pict>
                </mc:Fallback>
              </mc:AlternateContent>
            </w:r>
            <w:r>
              <w:rPr>
                <w:rFonts w:hint="eastAsia" w:ascii="Times New Roman" w:hAnsi="Times New Roman" w:eastAsia="宋体" w:cs="Times New Roman"/>
                <w:b/>
                <w:bCs/>
                <w:color w:val="auto"/>
                <w:sz w:val="21"/>
                <w:szCs w:val="21"/>
                <w:lang w:eastAsia="zh-CN"/>
              </w:rPr>
              <w:drawing>
                <wp:inline distT="0" distB="0" distL="114300" distR="114300">
                  <wp:extent cx="5758180" cy="8023860"/>
                  <wp:effectExtent l="0" t="0" r="13970" b="15240"/>
                  <wp:docPr id="34" name="图片 25" descr="监测布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监测布点"/>
                          <pic:cNvPicPr>
                            <a:picLocks noChangeAspect="1"/>
                          </pic:cNvPicPr>
                        </pic:nvPicPr>
                        <pic:blipFill>
                          <a:blip r:embed="rId23"/>
                          <a:stretch>
                            <a:fillRect/>
                          </a:stretch>
                        </pic:blipFill>
                        <pic:spPr>
                          <a:xfrm>
                            <a:off x="0" y="0"/>
                            <a:ext cx="5758180" cy="8023860"/>
                          </a:xfrm>
                          <a:prstGeom prst="rect">
                            <a:avLst/>
                          </a:prstGeom>
                          <a:noFill/>
                          <a:ln>
                            <a:noFill/>
                          </a:ln>
                        </pic:spPr>
                      </pic:pic>
                    </a:graphicData>
                  </a:graphic>
                </wp:inline>
              </w:drawing>
            </w:r>
          </w:p>
          <w:p>
            <w:pPr>
              <w:widowControl w:val="0"/>
              <w:adjustRightInd/>
              <w:snapToGrid/>
              <w:spacing w:after="0"/>
              <w:jc w:val="center"/>
              <w:rPr>
                <w:rFonts w:hint="default" w:ascii="Times New Roman" w:hAnsi="Times New Roman" w:eastAsia="宋体" w:cs="Times New Roman"/>
                <w:b/>
                <w:bCs/>
                <w:color w:val="auto"/>
                <w:sz w:val="21"/>
                <w:szCs w:val="21"/>
                <w:lang w:val="en-US" w:eastAsia="zh-CN"/>
              </w:rPr>
            </w:pPr>
            <w:r>
              <w:rPr>
                <w:rFonts w:ascii="Times New Roman" w:hAnsi="Times New Roman" w:eastAsia="宋体" w:cs="Times New Roman"/>
                <w:b/>
                <w:bCs/>
                <w:color w:val="auto"/>
                <w:sz w:val="21"/>
                <w:szCs w:val="21"/>
              </w:rPr>
              <w:t>表6-</w:t>
            </w:r>
            <w:r>
              <w:rPr>
                <w:rFonts w:hint="eastAsia" w:ascii="Times New Roman" w:hAnsi="Times New Roman" w:eastAsia="宋体" w:cs="Times New Roman"/>
                <w:b/>
                <w:bCs/>
                <w:color w:val="auto"/>
                <w:sz w:val="21"/>
                <w:szCs w:val="21"/>
                <w:lang w:val="en-US" w:eastAsia="zh-CN"/>
              </w:rPr>
              <w:t>1监测点位示意图</w:t>
            </w:r>
          </w:p>
          <w:p>
            <w:pPr>
              <w:widowControl w:val="0"/>
              <w:adjustRightInd/>
              <w:snapToGrid/>
              <w:spacing w:after="0" w:line="360" w:lineRule="auto"/>
              <w:ind w:firstLine="480" w:firstLineChars="200"/>
              <w:jc w:val="both"/>
              <w:rPr>
                <w:rFonts w:ascii="Times New Roman" w:hAnsi="Times New Roman" w:eastAsia="宋体"/>
                <w:color w:val="auto"/>
                <w:kern w:val="2"/>
                <w:sz w:val="24"/>
                <w:szCs w:val="24"/>
              </w:rPr>
            </w:pPr>
          </w:p>
          <w:p>
            <w:pPr>
              <w:widowControl w:val="0"/>
              <w:adjustRightInd/>
              <w:snapToGrid/>
              <w:spacing w:after="0"/>
              <w:jc w:val="both"/>
              <w:rPr>
                <w:rFonts w:ascii="Times New Roman" w:hAnsi="Times New Roman" w:eastAsia="宋体"/>
                <w:b/>
                <w:bCs/>
                <w:color w:val="auto"/>
                <w:kern w:val="2"/>
                <w:sz w:val="21"/>
                <w:szCs w:val="21"/>
              </w:rPr>
            </w:pPr>
          </w:p>
        </w:tc>
      </w:tr>
    </w:tbl>
    <w:p>
      <w:pPr>
        <w:adjustRightInd/>
        <w:snapToGrid/>
        <w:spacing w:after="0" w:line="360" w:lineRule="auto"/>
        <w:rPr>
          <w:rFonts w:ascii="Times New Roman" w:hAnsi="Times New Roman" w:eastAsia="宋体"/>
          <w:b/>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22" w:name="_Toc5281"/>
      <w:bookmarkStart w:id="23" w:name="_Toc16766"/>
      <w:r>
        <w:rPr>
          <w:rFonts w:ascii="Times New Roman" w:hAnsi="Times New Roman" w:eastAsia="宋体"/>
          <w:color w:val="auto"/>
        </w:rPr>
        <w:t>表七</w:t>
      </w:r>
      <w:bookmarkEnd w:id="22"/>
      <w:r>
        <w:rPr>
          <w:rFonts w:ascii="Times New Roman" w:hAnsi="Times New Roman" w:eastAsia="宋体"/>
          <w:color w:val="auto"/>
        </w:rPr>
        <w:t>验收监测结果</w:t>
      </w:r>
      <w:bookmarkEnd w:id="23"/>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jc w:val="center"/>
        </w:trPr>
        <w:tc>
          <w:tcPr>
            <w:tcW w:w="5000" w:type="pct"/>
            <w:noWrap w:val="0"/>
            <w:vAlign w:val="top"/>
          </w:tcPr>
          <w:p>
            <w:pPr>
              <w:adjustRightInd/>
              <w:snapToGrid/>
              <w:spacing w:after="0" w:line="336" w:lineRule="auto"/>
              <w:rPr>
                <w:rFonts w:ascii="Times New Roman" w:hAnsi="Times New Roman" w:eastAsia="宋体"/>
                <w:b/>
                <w:bCs/>
                <w:color w:val="auto"/>
                <w:sz w:val="24"/>
                <w:szCs w:val="24"/>
              </w:rPr>
            </w:pPr>
            <w:r>
              <w:rPr>
                <w:rFonts w:ascii="Times New Roman" w:hAnsi="Times New Roman" w:eastAsia="宋体"/>
                <w:b/>
                <w:bCs/>
                <w:color w:val="auto"/>
                <w:sz w:val="24"/>
                <w:szCs w:val="24"/>
              </w:rPr>
              <w:t>验收监测期间生产工况记录：</w:t>
            </w:r>
          </w:p>
          <w:p>
            <w:pPr>
              <w:widowControl w:val="0"/>
              <w:adjustRightInd/>
              <w:snapToGrid/>
              <w:spacing w:after="0" w:line="336" w:lineRule="auto"/>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lang w:eastAsia="zh-CN"/>
              </w:rPr>
              <w:t>宁波莱堡制冷设备有限公司</w:t>
            </w:r>
            <w:r>
              <w:rPr>
                <w:rFonts w:ascii="Times New Roman" w:hAnsi="Times New Roman" w:eastAsia="宋体"/>
                <w:color w:val="auto"/>
                <w:kern w:val="2"/>
                <w:sz w:val="24"/>
                <w:szCs w:val="24"/>
              </w:rPr>
              <w:t>于202</w:t>
            </w:r>
            <w:r>
              <w:rPr>
                <w:rFonts w:hint="eastAsia" w:ascii="Times New Roman" w:hAnsi="Times New Roman" w:eastAsia="宋体"/>
                <w:color w:val="auto"/>
                <w:kern w:val="2"/>
                <w:sz w:val="24"/>
                <w:szCs w:val="24"/>
                <w:lang w:val="en-US" w:eastAsia="zh-CN"/>
              </w:rPr>
              <w:t>3</w:t>
            </w:r>
            <w:r>
              <w:rPr>
                <w:rFonts w:ascii="Times New Roman" w:hAnsi="Times New Roman" w:eastAsia="宋体"/>
                <w:color w:val="auto"/>
                <w:kern w:val="2"/>
                <w:sz w:val="24"/>
                <w:szCs w:val="24"/>
              </w:rPr>
              <w:t>年</w:t>
            </w:r>
            <w:r>
              <w:rPr>
                <w:rFonts w:hint="eastAsia" w:ascii="Times New Roman" w:hAnsi="Times New Roman" w:eastAsia="宋体"/>
                <w:color w:val="auto"/>
                <w:kern w:val="2"/>
                <w:sz w:val="24"/>
                <w:szCs w:val="24"/>
                <w:lang w:val="en-US" w:eastAsia="zh-CN"/>
              </w:rPr>
              <w:t>9</w:t>
            </w:r>
            <w:r>
              <w:rPr>
                <w:rFonts w:ascii="Times New Roman" w:hAnsi="Times New Roman" w:eastAsia="宋体"/>
                <w:color w:val="auto"/>
                <w:kern w:val="2"/>
                <w:sz w:val="24"/>
                <w:szCs w:val="24"/>
              </w:rPr>
              <w:t>月</w:t>
            </w:r>
            <w:r>
              <w:rPr>
                <w:rFonts w:hint="eastAsia" w:ascii="Times New Roman" w:hAnsi="Times New Roman" w:eastAsia="宋体"/>
                <w:color w:val="auto"/>
                <w:kern w:val="2"/>
                <w:sz w:val="24"/>
                <w:szCs w:val="24"/>
                <w:lang w:val="en-US" w:eastAsia="zh-CN"/>
              </w:rPr>
              <w:t>2</w:t>
            </w:r>
            <w:r>
              <w:rPr>
                <w:rFonts w:hint="eastAsia" w:ascii="Times New Roman" w:hAnsi="Times New Roman" w:eastAsia="宋体"/>
                <w:color w:val="auto"/>
                <w:kern w:val="2"/>
                <w:sz w:val="24"/>
                <w:szCs w:val="24"/>
              </w:rPr>
              <w:t>7</w:t>
            </w:r>
            <w:r>
              <w:rPr>
                <w:rFonts w:ascii="Times New Roman" w:hAnsi="Times New Roman" w:eastAsia="宋体"/>
                <w:color w:val="auto"/>
                <w:kern w:val="2"/>
                <w:sz w:val="24"/>
                <w:szCs w:val="24"/>
              </w:rPr>
              <w:t>日至</w:t>
            </w:r>
            <w:r>
              <w:rPr>
                <w:rFonts w:hint="eastAsia" w:ascii="Times New Roman" w:hAnsi="Times New Roman" w:eastAsia="宋体"/>
                <w:color w:val="auto"/>
                <w:kern w:val="2"/>
                <w:sz w:val="24"/>
                <w:szCs w:val="24"/>
                <w:lang w:val="en-US" w:eastAsia="zh-CN"/>
              </w:rPr>
              <w:t>9</w:t>
            </w:r>
            <w:r>
              <w:rPr>
                <w:rFonts w:ascii="Times New Roman" w:hAnsi="Times New Roman" w:eastAsia="宋体"/>
                <w:color w:val="auto"/>
                <w:kern w:val="2"/>
                <w:sz w:val="24"/>
                <w:szCs w:val="24"/>
              </w:rPr>
              <w:t>月</w:t>
            </w:r>
            <w:r>
              <w:rPr>
                <w:rFonts w:hint="eastAsia" w:ascii="Times New Roman" w:hAnsi="Times New Roman" w:eastAsia="宋体"/>
                <w:color w:val="auto"/>
                <w:kern w:val="2"/>
                <w:sz w:val="24"/>
                <w:szCs w:val="24"/>
                <w:lang w:val="en-US" w:eastAsia="zh-CN"/>
              </w:rPr>
              <w:t>2</w:t>
            </w:r>
            <w:r>
              <w:rPr>
                <w:rFonts w:hint="eastAsia" w:ascii="Times New Roman" w:hAnsi="Times New Roman" w:eastAsia="宋体"/>
                <w:color w:val="auto"/>
                <w:kern w:val="2"/>
                <w:sz w:val="24"/>
                <w:szCs w:val="24"/>
              </w:rPr>
              <w:t>8</w:t>
            </w:r>
            <w:r>
              <w:rPr>
                <w:rFonts w:ascii="Times New Roman" w:hAnsi="Times New Roman" w:eastAsia="宋体"/>
                <w:color w:val="auto"/>
                <w:kern w:val="2"/>
                <w:sz w:val="24"/>
                <w:szCs w:val="24"/>
              </w:rPr>
              <w:t>日</w:t>
            </w:r>
            <w:r>
              <w:rPr>
                <w:rFonts w:hint="eastAsia" w:ascii="Times New Roman" w:hAnsi="Times New Roman" w:eastAsia="宋体"/>
                <w:color w:val="auto"/>
                <w:kern w:val="2"/>
                <w:sz w:val="24"/>
                <w:szCs w:val="24"/>
                <w:lang w:val="en-US" w:eastAsia="zh-CN"/>
              </w:rPr>
              <w:t>、2024年1月4日</w:t>
            </w:r>
            <w:r>
              <w:rPr>
                <w:rFonts w:ascii="Times New Roman" w:hAnsi="Times New Roman" w:eastAsia="宋体"/>
                <w:color w:val="auto"/>
                <w:kern w:val="2"/>
                <w:sz w:val="24"/>
                <w:szCs w:val="24"/>
              </w:rPr>
              <w:t>至</w:t>
            </w:r>
            <w:r>
              <w:rPr>
                <w:rFonts w:hint="eastAsia" w:ascii="Times New Roman" w:hAnsi="Times New Roman" w:eastAsia="宋体"/>
                <w:color w:val="auto"/>
                <w:kern w:val="2"/>
                <w:sz w:val="24"/>
                <w:szCs w:val="24"/>
                <w:lang w:val="en-US" w:eastAsia="zh-CN"/>
              </w:rPr>
              <w:t>1月5日</w:t>
            </w:r>
            <w:r>
              <w:rPr>
                <w:rFonts w:ascii="Times New Roman" w:hAnsi="Times New Roman" w:eastAsia="宋体"/>
                <w:color w:val="auto"/>
                <w:kern w:val="2"/>
                <w:sz w:val="24"/>
                <w:szCs w:val="24"/>
              </w:rPr>
              <w:t>委托</w:t>
            </w:r>
            <w:r>
              <w:rPr>
                <w:rFonts w:hint="eastAsia" w:ascii="Times New Roman" w:hAnsi="Times New Roman" w:eastAsia="宋体"/>
                <w:color w:val="auto"/>
                <w:kern w:val="2"/>
                <w:sz w:val="24"/>
                <w:szCs w:val="24"/>
                <w:lang w:eastAsia="zh-CN"/>
              </w:rPr>
              <w:t>浙江甬信检测技术有限公司</w:t>
            </w:r>
            <w:r>
              <w:rPr>
                <w:rFonts w:ascii="Times New Roman" w:hAnsi="Times New Roman" w:eastAsia="宋体"/>
                <w:color w:val="auto"/>
                <w:kern w:val="2"/>
                <w:sz w:val="24"/>
                <w:szCs w:val="24"/>
              </w:rPr>
              <w:t>进行竣工环保验收监测。在竣工环保验收监测期间，项目生产设备正常运行，各项环保设施正常运行，生产</w:t>
            </w:r>
            <w:r>
              <w:rPr>
                <w:rFonts w:hint="eastAsia" w:ascii="Times New Roman" w:hAnsi="Times New Roman" w:eastAsia="宋体"/>
                <w:color w:val="auto"/>
                <w:kern w:val="2"/>
                <w:sz w:val="24"/>
                <w:szCs w:val="24"/>
                <w:lang w:val="en-US" w:eastAsia="zh-CN"/>
              </w:rPr>
              <w:t>稳定</w:t>
            </w:r>
            <w:r>
              <w:rPr>
                <w:rFonts w:ascii="Times New Roman" w:hAnsi="Times New Roman" w:eastAsia="宋体"/>
                <w:color w:val="auto"/>
                <w:kern w:val="2"/>
                <w:sz w:val="24"/>
                <w:szCs w:val="24"/>
              </w:rPr>
              <w:t>。</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表7-1</w:t>
            </w:r>
            <w:r>
              <w:rPr>
                <w:rFonts w:hint="eastAsia" w:ascii="Times New Roman" w:hAnsi="Times New Roman" w:eastAsia="宋体"/>
                <w:b/>
                <w:bCs/>
                <w:color w:val="auto"/>
                <w:sz w:val="21"/>
                <w:szCs w:val="21"/>
                <w:lang w:val="en-US" w:eastAsia="zh-CN"/>
              </w:rPr>
              <w:t xml:space="preserve"> </w:t>
            </w:r>
            <w:r>
              <w:rPr>
                <w:rFonts w:ascii="Times New Roman" w:hAnsi="Times New Roman" w:eastAsia="宋体"/>
                <w:b/>
                <w:bCs/>
                <w:color w:val="auto"/>
                <w:sz w:val="21"/>
                <w:szCs w:val="21"/>
              </w:rPr>
              <w:t>监测期间产品生产负荷情况表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238"/>
              <w:gridCol w:w="1572"/>
              <w:gridCol w:w="1136"/>
              <w:gridCol w:w="1650"/>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Merge w:val="restart"/>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产品名称</w:t>
                  </w:r>
                </w:p>
              </w:tc>
              <w:tc>
                <w:tcPr>
                  <w:tcW w:w="2238" w:type="dxa"/>
                  <w:vMerge w:val="restart"/>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投产规模</w:t>
                  </w:r>
                </w:p>
              </w:tc>
              <w:tc>
                <w:tcPr>
                  <w:tcW w:w="2708" w:type="dxa"/>
                  <w:gridSpan w:val="2"/>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日期：202</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9</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2</w:t>
                  </w:r>
                  <w:r>
                    <w:rPr>
                      <w:rFonts w:hint="eastAsia" w:ascii="Times New Roman" w:hAnsi="Times New Roman" w:eastAsia="宋体"/>
                      <w:color w:val="auto"/>
                      <w:sz w:val="21"/>
                      <w:szCs w:val="21"/>
                    </w:rPr>
                    <w:t>7</w:t>
                  </w:r>
                </w:p>
              </w:tc>
              <w:tc>
                <w:tcPr>
                  <w:tcW w:w="2829" w:type="dxa"/>
                  <w:gridSpan w:val="2"/>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日期：202</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9</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2</w:t>
                  </w:r>
                  <w:r>
                    <w:rPr>
                      <w:rFonts w:hint="eastAsia" w:ascii="Times New Roman" w:hAnsi="Times New Roman" w:eastAsia="宋体"/>
                      <w:color w:val="auto"/>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Merge w:val="continue"/>
                  <w:noWrap w:val="0"/>
                  <w:vAlign w:val="center"/>
                </w:tcPr>
                <w:p>
                  <w:pPr>
                    <w:adjustRightInd/>
                    <w:snapToGrid/>
                    <w:spacing w:after="0"/>
                    <w:jc w:val="center"/>
                    <w:rPr>
                      <w:rFonts w:ascii="Times New Roman" w:hAnsi="Times New Roman" w:eastAsia="宋体"/>
                      <w:color w:val="auto"/>
                      <w:sz w:val="21"/>
                      <w:szCs w:val="21"/>
                    </w:rPr>
                  </w:pPr>
                </w:p>
              </w:tc>
              <w:tc>
                <w:tcPr>
                  <w:tcW w:w="2238" w:type="dxa"/>
                  <w:vMerge w:val="continue"/>
                  <w:noWrap w:val="0"/>
                  <w:vAlign w:val="center"/>
                </w:tcPr>
                <w:p>
                  <w:pPr>
                    <w:adjustRightInd/>
                    <w:snapToGrid/>
                    <w:spacing w:after="0"/>
                    <w:jc w:val="center"/>
                    <w:rPr>
                      <w:rFonts w:ascii="Times New Roman" w:hAnsi="Times New Roman" w:eastAsia="宋体"/>
                      <w:color w:val="auto"/>
                      <w:sz w:val="21"/>
                      <w:szCs w:val="21"/>
                    </w:rPr>
                  </w:pPr>
                </w:p>
              </w:tc>
              <w:tc>
                <w:tcPr>
                  <w:tcW w:w="1572"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实际量</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台/天</w:t>
                  </w:r>
                  <w:r>
                    <w:rPr>
                      <w:rFonts w:hint="eastAsia" w:ascii="Times New Roman" w:hAnsi="Times New Roman" w:eastAsia="宋体"/>
                      <w:color w:val="auto"/>
                      <w:sz w:val="21"/>
                      <w:szCs w:val="21"/>
                      <w:lang w:eastAsia="zh-CN"/>
                    </w:rPr>
                    <w:t>）</w:t>
                  </w:r>
                </w:p>
              </w:tc>
              <w:tc>
                <w:tcPr>
                  <w:tcW w:w="1136"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生产负荷</w:t>
                  </w:r>
                </w:p>
              </w:tc>
              <w:tc>
                <w:tcPr>
                  <w:tcW w:w="1650"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实际量</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台/天</w:t>
                  </w:r>
                  <w:r>
                    <w:rPr>
                      <w:rFonts w:hint="eastAsia" w:ascii="Times New Roman" w:hAnsi="Times New Roman" w:eastAsia="宋体"/>
                      <w:color w:val="auto"/>
                      <w:sz w:val="21"/>
                      <w:szCs w:val="21"/>
                      <w:lang w:eastAsia="zh-CN"/>
                    </w:rPr>
                    <w:t>）</w:t>
                  </w:r>
                </w:p>
              </w:tc>
              <w:tc>
                <w:tcPr>
                  <w:tcW w:w="1179" w:type="dxa"/>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noWrap w:val="0"/>
                  <w:vAlign w:val="center"/>
                </w:tcPr>
                <w:p>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电机</w:t>
                  </w:r>
                </w:p>
              </w:tc>
              <w:tc>
                <w:tcPr>
                  <w:tcW w:w="2238"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10万台</w:t>
                  </w:r>
                  <w:r>
                    <w:rPr>
                      <w:rFonts w:hint="eastAsia" w:ascii="Times New Roman" w:hAnsi="Times New Roman" w:eastAsia="宋体"/>
                      <w:color w:val="auto"/>
                      <w:sz w:val="21"/>
                      <w:szCs w:val="21"/>
                      <w:lang w:val="en-US" w:eastAsia="zh-CN"/>
                    </w:rPr>
                    <w:t>/年</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333台/天</w:t>
                  </w:r>
                  <w:r>
                    <w:rPr>
                      <w:rFonts w:hint="eastAsia" w:ascii="Times New Roman" w:hAnsi="Times New Roman" w:eastAsia="宋体"/>
                      <w:color w:val="auto"/>
                      <w:sz w:val="21"/>
                      <w:szCs w:val="21"/>
                      <w:lang w:eastAsia="zh-CN"/>
                    </w:rPr>
                    <w:t>）</w:t>
                  </w:r>
                </w:p>
              </w:tc>
              <w:tc>
                <w:tcPr>
                  <w:tcW w:w="1572" w:type="dxa"/>
                  <w:noWrap w:val="0"/>
                  <w:vAlign w:val="center"/>
                </w:tcPr>
                <w:p>
                  <w:pPr>
                    <w:pStyle w:val="20"/>
                    <w:tabs>
                      <w:tab w:val="left" w:pos="-2848"/>
                    </w:tabs>
                    <w:adjustRightInd/>
                    <w:snapToGrid/>
                    <w:spacing w:after="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282</w:t>
                  </w:r>
                </w:p>
              </w:tc>
              <w:tc>
                <w:tcPr>
                  <w:tcW w:w="1136" w:type="dxa"/>
                  <w:noWrap w:val="0"/>
                  <w:vAlign w:val="center"/>
                </w:tcPr>
                <w:p>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85</w:t>
                  </w:r>
                  <w:r>
                    <w:rPr>
                      <w:rFonts w:hint="eastAsia" w:ascii="Times New Roman" w:hAnsi="Times New Roman" w:eastAsia="宋体"/>
                      <w:color w:val="auto"/>
                      <w:sz w:val="21"/>
                      <w:szCs w:val="21"/>
                    </w:rPr>
                    <w:t>%</w:t>
                  </w:r>
                </w:p>
              </w:tc>
              <w:tc>
                <w:tcPr>
                  <w:tcW w:w="1650" w:type="dxa"/>
                  <w:noWrap w:val="0"/>
                  <w:vAlign w:val="center"/>
                </w:tcPr>
                <w:p>
                  <w:pPr>
                    <w:pStyle w:val="20"/>
                    <w:tabs>
                      <w:tab w:val="left" w:pos="-2848"/>
                    </w:tabs>
                    <w:adjustRightInd/>
                    <w:snapToGrid/>
                    <w:spacing w:after="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275</w:t>
                  </w:r>
                </w:p>
              </w:tc>
              <w:tc>
                <w:tcPr>
                  <w:tcW w:w="1179" w:type="dxa"/>
                  <w:noWrap w:val="0"/>
                  <w:vAlign w:val="center"/>
                </w:tcPr>
                <w:p>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8</w:t>
                  </w:r>
                  <w:r>
                    <w:rPr>
                      <w:rFonts w:hint="eastAsia" w:ascii="Times New Roman" w:hAnsi="Times New Roman" w:eastAsia="宋体"/>
                      <w:color w:val="auto"/>
                      <w:sz w:val="21"/>
                      <w:szCs w:val="21"/>
                      <w:lang w:val="en-US" w:eastAsia="zh-CN"/>
                    </w:rPr>
                    <w:t>3</w:t>
                  </w:r>
                  <w:r>
                    <w:rPr>
                      <w:rFonts w:hint="eastAsia" w:ascii="Times New Roman" w:hAnsi="Times New Roman" w:eastAsia="宋体"/>
                      <w:color w:val="auto"/>
                      <w:sz w:val="21"/>
                      <w:szCs w:val="21"/>
                    </w:rPr>
                    <w:t>%</w:t>
                  </w:r>
                </w:p>
              </w:tc>
            </w:tr>
          </w:tbl>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表7-</w:t>
            </w:r>
            <w:r>
              <w:rPr>
                <w:rFonts w:hint="eastAsia" w:ascii="Times New Roman" w:hAnsi="Times New Roman" w:eastAsia="宋体"/>
                <w:b/>
                <w:bCs/>
                <w:color w:val="auto"/>
                <w:sz w:val="21"/>
                <w:szCs w:val="21"/>
                <w:lang w:val="en-US" w:eastAsia="zh-CN"/>
              </w:rPr>
              <w:t xml:space="preserve">2 </w:t>
            </w:r>
            <w:r>
              <w:rPr>
                <w:rFonts w:ascii="Times New Roman" w:hAnsi="Times New Roman" w:eastAsia="宋体"/>
                <w:b/>
                <w:bCs/>
                <w:color w:val="auto"/>
                <w:sz w:val="21"/>
                <w:szCs w:val="21"/>
              </w:rPr>
              <w:t>监测期间</w:t>
            </w:r>
            <w:r>
              <w:rPr>
                <w:rFonts w:hint="eastAsia" w:ascii="Times New Roman" w:hAnsi="Times New Roman" w:eastAsia="宋体"/>
                <w:b/>
                <w:bCs/>
                <w:color w:val="auto"/>
                <w:sz w:val="21"/>
                <w:szCs w:val="21"/>
                <w:lang w:val="en-US" w:eastAsia="zh-CN"/>
              </w:rPr>
              <w:t>浸漆晾干工序</w:t>
            </w:r>
            <w:r>
              <w:rPr>
                <w:rFonts w:ascii="Times New Roman" w:hAnsi="Times New Roman" w:eastAsia="宋体"/>
                <w:b/>
                <w:bCs/>
                <w:color w:val="auto"/>
                <w:sz w:val="21"/>
                <w:szCs w:val="21"/>
              </w:rPr>
              <w:t>生产负荷情况表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53"/>
              <w:gridCol w:w="1586"/>
              <w:gridCol w:w="1135"/>
              <w:gridCol w:w="168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Merge w:val="restart"/>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产品名称</w:t>
                  </w:r>
                </w:p>
              </w:tc>
              <w:tc>
                <w:tcPr>
                  <w:tcW w:w="2253" w:type="dxa"/>
                  <w:vMerge w:val="restart"/>
                  <w:noWrap w:val="0"/>
                  <w:vAlign w:val="center"/>
                </w:tcPr>
                <w:p>
                  <w:pPr>
                    <w:adjustRightInd/>
                    <w:snapToGri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投产规模</w:t>
                  </w:r>
                </w:p>
              </w:tc>
              <w:tc>
                <w:tcPr>
                  <w:tcW w:w="2721" w:type="dxa"/>
                  <w:gridSpan w:val="2"/>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日期：202</w:t>
                  </w:r>
                  <w:r>
                    <w:rPr>
                      <w:rFonts w:hint="eastAsia" w:ascii="Times New Roman" w:hAnsi="Times New Roman" w:eastAsia="宋体"/>
                      <w:color w:val="auto"/>
                      <w:sz w:val="21"/>
                      <w:szCs w:val="21"/>
                      <w:lang w:val="en-US" w:eastAsia="zh-CN"/>
                    </w:rPr>
                    <w:t>4</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4</w:t>
                  </w:r>
                </w:p>
              </w:tc>
              <w:tc>
                <w:tcPr>
                  <w:tcW w:w="2797" w:type="dxa"/>
                  <w:gridSpan w:val="2"/>
                  <w:noWrap w:val="0"/>
                  <w:vAlign w:val="center"/>
                </w:tcPr>
                <w:p>
                  <w:pPr>
                    <w:adjustRightInd/>
                    <w:snapToGri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日期：202</w:t>
                  </w:r>
                  <w:r>
                    <w:rPr>
                      <w:rFonts w:hint="eastAsia" w:ascii="Times New Roman" w:hAnsi="Times New Roman" w:eastAsia="宋体"/>
                      <w:color w:val="auto"/>
                      <w:sz w:val="21"/>
                      <w:szCs w:val="21"/>
                      <w:lang w:val="en-US" w:eastAsia="zh-CN"/>
                    </w:rPr>
                    <w:t>4</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Merge w:val="continue"/>
                  <w:noWrap w:val="0"/>
                  <w:vAlign w:val="center"/>
                </w:tcPr>
                <w:p>
                  <w:pPr>
                    <w:adjustRightInd/>
                    <w:snapToGrid/>
                    <w:spacing w:after="0"/>
                    <w:jc w:val="center"/>
                    <w:rPr>
                      <w:rFonts w:ascii="Times New Roman" w:hAnsi="Times New Roman" w:eastAsia="宋体"/>
                      <w:color w:val="auto"/>
                      <w:sz w:val="21"/>
                      <w:szCs w:val="21"/>
                    </w:rPr>
                  </w:pPr>
                </w:p>
              </w:tc>
              <w:tc>
                <w:tcPr>
                  <w:tcW w:w="2253" w:type="dxa"/>
                  <w:vMerge w:val="continue"/>
                  <w:noWrap w:val="0"/>
                  <w:vAlign w:val="center"/>
                </w:tcPr>
                <w:p>
                  <w:pPr>
                    <w:adjustRightInd/>
                    <w:snapToGrid/>
                    <w:spacing w:after="0"/>
                    <w:jc w:val="center"/>
                    <w:rPr>
                      <w:rFonts w:ascii="Times New Roman" w:hAnsi="Times New Roman" w:eastAsia="宋体"/>
                      <w:color w:val="auto"/>
                      <w:sz w:val="21"/>
                      <w:szCs w:val="21"/>
                    </w:rPr>
                  </w:pPr>
                </w:p>
              </w:tc>
              <w:tc>
                <w:tcPr>
                  <w:tcW w:w="1586" w:type="dxa"/>
                  <w:noWrap w:val="0"/>
                  <w:vAlign w:val="center"/>
                </w:tcPr>
                <w:p>
                  <w:pPr>
                    <w:adjustRightInd/>
                    <w:snapToGrid/>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实际量</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台/天</w:t>
                  </w:r>
                  <w:r>
                    <w:rPr>
                      <w:rFonts w:hint="eastAsia" w:ascii="Times New Roman" w:hAnsi="Times New Roman" w:eastAsia="宋体"/>
                      <w:color w:val="auto"/>
                      <w:sz w:val="21"/>
                      <w:szCs w:val="21"/>
                      <w:lang w:eastAsia="zh-CN"/>
                    </w:rPr>
                    <w:t>）</w:t>
                  </w:r>
                </w:p>
              </w:tc>
              <w:tc>
                <w:tcPr>
                  <w:tcW w:w="1135" w:type="dxa"/>
                  <w:noWrap w:val="0"/>
                  <w:vAlign w:val="center"/>
                </w:tcPr>
                <w:p>
                  <w:pPr>
                    <w:adjustRightInd/>
                    <w:snapToGrid/>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生产负荷</w:t>
                  </w:r>
                </w:p>
              </w:tc>
              <w:tc>
                <w:tcPr>
                  <w:tcW w:w="1682" w:type="dxa"/>
                  <w:noWrap w:val="0"/>
                  <w:vAlign w:val="center"/>
                </w:tcPr>
                <w:p>
                  <w:pPr>
                    <w:adjustRightInd/>
                    <w:snapToGrid/>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实际量</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台/天</w:t>
                  </w:r>
                  <w:r>
                    <w:rPr>
                      <w:rFonts w:hint="eastAsia" w:ascii="Times New Roman" w:hAnsi="Times New Roman" w:eastAsia="宋体"/>
                      <w:color w:val="auto"/>
                      <w:sz w:val="21"/>
                      <w:szCs w:val="21"/>
                      <w:lang w:eastAsia="zh-CN"/>
                    </w:rPr>
                    <w:t>）</w:t>
                  </w:r>
                </w:p>
              </w:tc>
              <w:tc>
                <w:tcPr>
                  <w:tcW w:w="1115" w:type="dxa"/>
                  <w:noWrap w:val="0"/>
                  <w:vAlign w:val="center"/>
                </w:tcPr>
                <w:p>
                  <w:pPr>
                    <w:adjustRightInd/>
                    <w:snapToGrid/>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noWrap w:val="0"/>
                  <w:vAlign w:val="center"/>
                </w:tcPr>
                <w:p>
                  <w:pPr>
                    <w:adjustRightInd/>
                    <w:snapToGrid/>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电机</w:t>
                  </w:r>
                </w:p>
              </w:tc>
              <w:tc>
                <w:tcPr>
                  <w:tcW w:w="2253" w:type="dxa"/>
                  <w:noWrap w:val="0"/>
                  <w:vAlign w:val="center"/>
                </w:tcPr>
                <w:p>
                  <w:pPr>
                    <w:pStyle w:val="20"/>
                    <w:tabs>
                      <w:tab w:val="left" w:pos="-2848"/>
                    </w:tabs>
                    <w:adjustRightInd/>
                    <w:snapToGrid/>
                    <w:spacing w:after="0"/>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10万台</w:t>
                  </w:r>
                  <w:r>
                    <w:rPr>
                      <w:rFonts w:hint="eastAsia" w:ascii="Times New Roman" w:hAnsi="Times New Roman" w:eastAsia="宋体"/>
                      <w:color w:val="auto"/>
                      <w:sz w:val="21"/>
                      <w:szCs w:val="21"/>
                      <w:lang w:val="en-US" w:eastAsia="zh-CN"/>
                    </w:rPr>
                    <w:t>/年</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333台/天</w:t>
                  </w:r>
                  <w:r>
                    <w:rPr>
                      <w:rFonts w:hint="eastAsia" w:ascii="Times New Roman" w:hAnsi="Times New Roman" w:eastAsia="宋体"/>
                      <w:color w:val="auto"/>
                      <w:sz w:val="21"/>
                      <w:szCs w:val="21"/>
                      <w:lang w:eastAsia="zh-CN"/>
                    </w:rPr>
                    <w:t>）</w:t>
                  </w:r>
                </w:p>
              </w:tc>
              <w:tc>
                <w:tcPr>
                  <w:tcW w:w="1586" w:type="dxa"/>
                  <w:noWrap w:val="0"/>
                  <w:vAlign w:val="center"/>
                </w:tcPr>
                <w:p>
                  <w:pPr>
                    <w:pStyle w:val="20"/>
                    <w:tabs>
                      <w:tab w:val="left" w:pos="-2848"/>
                    </w:tabs>
                    <w:adjustRightInd/>
                    <w:snapToGrid/>
                    <w:spacing w:after="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w:t>
                  </w:r>
                </w:p>
              </w:tc>
              <w:tc>
                <w:tcPr>
                  <w:tcW w:w="1135" w:type="dxa"/>
                  <w:noWrap w:val="0"/>
                  <w:vAlign w:val="center"/>
                </w:tcPr>
                <w:p>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99.1</w:t>
                  </w:r>
                  <w:r>
                    <w:rPr>
                      <w:rFonts w:hint="eastAsia" w:ascii="Times New Roman" w:hAnsi="Times New Roman" w:eastAsia="宋体"/>
                      <w:color w:val="auto"/>
                      <w:sz w:val="21"/>
                      <w:szCs w:val="21"/>
                    </w:rPr>
                    <w:t>%</w:t>
                  </w:r>
                </w:p>
              </w:tc>
              <w:tc>
                <w:tcPr>
                  <w:tcW w:w="1682" w:type="dxa"/>
                  <w:noWrap w:val="0"/>
                  <w:vAlign w:val="center"/>
                </w:tcPr>
                <w:p>
                  <w:pPr>
                    <w:pStyle w:val="20"/>
                    <w:tabs>
                      <w:tab w:val="left" w:pos="-2848"/>
                    </w:tabs>
                    <w:adjustRightInd/>
                    <w:snapToGrid/>
                    <w:spacing w:after="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350</w:t>
                  </w:r>
                </w:p>
              </w:tc>
              <w:tc>
                <w:tcPr>
                  <w:tcW w:w="1115" w:type="dxa"/>
                  <w:noWrap w:val="0"/>
                  <w:vAlign w:val="center"/>
                </w:tcPr>
                <w:p>
                  <w:pPr>
                    <w:adjustRightInd/>
                    <w:snapToGrid/>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105</w:t>
                  </w:r>
                  <w:r>
                    <w:rPr>
                      <w:rFonts w:hint="eastAsia" w:ascii="Times New Roman" w:hAnsi="Times New Roman" w:eastAsia="宋体"/>
                      <w:color w:val="auto"/>
                      <w:sz w:val="21"/>
                      <w:szCs w:val="21"/>
                    </w:rPr>
                    <w:t>%</w:t>
                  </w:r>
                </w:p>
              </w:tc>
            </w:tr>
          </w:tbl>
          <w:p>
            <w:pPr>
              <w:pStyle w:val="17"/>
              <w:adjustRightInd/>
              <w:spacing w:line="360" w:lineRule="auto"/>
              <w:jc w:val="both"/>
              <w:rPr>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7" w:hRule="atLeast"/>
          <w:jc w:val="center"/>
        </w:trPr>
        <w:tc>
          <w:tcPr>
            <w:tcW w:w="5000" w:type="pct"/>
            <w:noWrap w:val="0"/>
            <w:vAlign w:val="top"/>
          </w:tcPr>
          <w:p>
            <w:pPr>
              <w:adjustRightInd/>
              <w:snapToGrid/>
              <w:spacing w:after="0" w:line="336" w:lineRule="auto"/>
              <w:rPr>
                <w:rFonts w:ascii="Times New Roman" w:hAnsi="Times New Roman" w:eastAsia="宋体"/>
                <w:b/>
                <w:bCs/>
                <w:color w:val="auto"/>
                <w:sz w:val="24"/>
                <w:szCs w:val="24"/>
              </w:rPr>
            </w:pPr>
            <w:r>
              <w:rPr>
                <w:rFonts w:ascii="Times New Roman" w:hAnsi="Times New Roman" w:eastAsia="宋体"/>
                <w:b/>
                <w:bCs/>
                <w:color w:val="auto"/>
                <w:sz w:val="24"/>
                <w:szCs w:val="24"/>
              </w:rPr>
              <w:t>验收监测结果：</w:t>
            </w:r>
          </w:p>
          <w:p>
            <w:pPr>
              <w:widowControl w:val="0"/>
              <w:adjustRightInd/>
              <w:snapToGrid/>
              <w:spacing w:after="0" w:line="336" w:lineRule="auto"/>
              <w:ind w:firstLine="482" w:firstLineChars="200"/>
              <w:jc w:val="both"/>
              <w:rPr>
                <w:rFonts w:ascii="Times New Roman" w:hAnsi="Times New Roman" w:eastAsia="宋体"/>
                <w:color w:val="auto"/>
                <w:kern w:val="2"/>
                <w:sz w:val="24"/>
                <w:szCs w:val="24"/>
              </w:rPr>
            </w:pPr>
            <w:r>
              <w:rPr>
                <w:rFonts w:ascii="Times New Roman" w:hAnsi="Times New Roman" w:eastAsia="宋体"/>
                <w:b/>
                <w:color w:val="auto"/>
                <w:kern w:val="2"/>
                <w:sz w:val="24"/>
              </w:rPr>
              <w:t>7.1废气监测结果</w:t>
            </w:r>
          </w:p>
          <w:p>
            <w:pPr>
              <w:widowControl w:val="0"/>
              <w:adjustRightInd/>
              <w:snapToGrid/>
              <w:spacing w:after="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7-3 有</w:t>
            </w:r>
            <w:r>
              <w:rPr>
                <w:rFonts w:hint="default" w:ascii="Times New Roman" w:hAnsi="Times New Roman" w:eastAsia="宋体" w:cs="Times New Roman"/>
                <w:b/>
                <w:bCs/>
                <w:color w:val="auto"/>
                <w:sz w:val="21"/>
                <w:szCs w:val="21"/>
                <w:lang w:val="en-US" w:eastAsia="zh-CN"/>
              </w:rPr>
              <w:t>组织废气</w:t>
            </w:r>
            <w:r>
              <w:rPr>
                <w:rFonts w:hint="default" w:ascii="Times New Roman" w:hAnsi="Times New Roman" w:eastAsia="宋体" w:cs="Times New Roman"/>
                <w:b/>
                <w:bCs/>
                <w:color w:val="auto"/>
                <w:sz w:val="21"/>
                <w:szCs w:val="21"/>
              </w:rPr>
              <w:t>检测结果</w:t>
            </w:r>
            <w:r>
              <w:rPr>
                <w:rFonts w:hint="eastAsia" w:ascii="Times New Roman" w:hAnsi="Times New Roman" w:eastAsia="宋体" w:cs="Times New Roman"/>
                <w:b/>
                <w:bCs/>
                <w:color w:val="auto"/>
                <w:sz w:val="21"/>
                <w:szCs w:val="21"/>
                <w:lang w:val="en-US" w:eastAsia="zh-CN"/>
              </w:rPr>
              <w:t>1</w:t>
            </w:r>
          </w:p>
          <w:tbl>
            <w:tblPr>
              <w:tblStyle w:val="1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58"/>
              <w:gridCol w:w="956"/>
              <w:gridCol w:w="963"/>
              <w:gridCol w:w="962"/>
              <w:gridCol w:w="971"/>
              <w:gridCol w:w="1046"/>
              <w:gridCol w:w="1155"/>
              <w:gridCol w:w="1117"/>
              <w:gridCol w:w="896"/>
              <w:gridCol w:w="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采样日期</w:t>
                  </w: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532"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检测频次</w:t>
                  </w:r>
                </w:p>
              </w:tc>
              <w:tc>
                <w:tcPr>
                  <w:tcW w:w="537"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标干风量（m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7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63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1114" w:type="pct"/>
                  <w:gridSpan w:val="2"/>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7"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7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3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18"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49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2023-9-27</w:t>
                  </w: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酸雾废气排放口出口6# 15m</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10641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2.66×10</w:t>
                  </w:r>
                  <w:r>
                    <w:rPr>
                      <w:rFonts w:hint="default" w:ascii="Times New Roman" w:hAnsi="Times New Roman" w:eastAsia="宋体" w:cs="Times New Roman"/>
                      <w:color w:val="auto"/>
                      <w:sz w:val="21"/>
                      <w:szCs w:val="21"/>
                      <w:vertAlign w:val="superscript"/>
                      <w:lang w:val="en-US" w:eastAsia="zh-CN"/>
                    </w:rPr>
                    <w:t>-2</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95"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10938</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2.73×10</w:t>
                  </w:r>
                  <w:r>
                    <w:rPr>
                      <w:rFonts w:hint="default" w:ascii="Times New Roman" w:hAnsi="Times New Roman" w:eastAsia="宋体" w:cs="Times New Roman"/>
                      <w:color w:val="auto"/>
                      <w:sz w:val="21"/>
                      <w:szCs w:val="21"/>
                      <w:vertAlign w:val="superscript"/>
                      <w:lang w:val="en-US" w:eastAsia="zh-CN"/>
                    </w:rPr>
                    <w:t>-2</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11281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2.82×10</w:t>
                  </w:r>
                  <w:r>
                    <w:rPr>
                      <w:rFonts w:hint="default" w:ascii="Times New Roman" w:hAnsi="Times New Roman" w:eastAsia="宋体" w:cs="Times New Roman"/>
                      <w:color w:val="auto"/>
                      <w:sz w:val="21"/>
                      <w:szCs w:val="21"/>
                      <w:vertAlign w:val="superscript"/>
                      <w:lang w:val="en-US" w:eastAsia="zh-CN"/>
                    </w:rPr>
                    <w:t>-2</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10641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2.66×10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95"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10938</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2.63×10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11281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2.93×10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喷塑废气排放口7# 15m</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13270</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0.157</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95"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0.138</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25"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13825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0.148</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固化废气排放口出口9# 15m </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7.16×10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495"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1.00×10</w:t>
                  </w:r>
                  <w:r>
                    <w:rPr>
                      <w:rFonts w:hint="default" w:ascii="Times New Roman" w:hAnsi="Times New Roman" w:eastAsia="宋体" w:cs="Times New Roman"/>
                      <w:color w:val="auto"/>
                      <w:sz w:val="21"/>
                      <w:szCs w:val="21"/>
                      <w:vertAlign w:val="superscript"/>
                      <w:lang w:val="en-US" w:eastAsia="zh-CN"/>
                    </w:rPr>
                    <w:t>-2</w:t>
                  </w:r>
                </w:p>
              </w:tc>
              <w:tc>
                <w:tcPr>
                  <w:tcW w:w="618" w:type="pct"/>
                  <w:vMerge w:val="continue"/>
                  <w:tcBorders>
                    <w:tl2br w:val="nil"/>
                    <w:tr2bl w:val="nil"/>
                  </w:tcBorders>
                  <w:shd w:val="clear" w:color="auto" w:fill="FFFFFF"/>
                  <w:noWrap w:val="0"/>
                  <w:vAlign w:val="center"/>
                </w:tcPr>
                <w:p>
                  <w:pPr>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6.56×10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478（无量纲）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495"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549（无量纲）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549（无量纲）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5.67×10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95" w:type="pct"/>
                  <w:vMerge w:val="restart"/>
                  <w:tcBorders>
                    <w:tl2br w:val="nil"/>
                    <w:tr2bl w:val="nil"/>
                  </w:tcBorders>
                  <w:shd w:val="clear" w:color="auto" w:fill="FFFFFF"/>
                  <w:noWrap w:val="0"/>
                  <w:vAlign w:val="center"/>
                </w:tcPr>
                <w:p>
                  <w:pPr>
                    <w:adjustRightInd/>
                    <w:snapToGrid/>
                    <w:spacing w:after="0"/>
                    <w:jc w:val="center"/>
                    <w:rPr>
                      <w:rFonts w:hint="default"/>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5.12×10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5.32×10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1.67×10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495" w:type="pct"/>
                  <w:vMerge w:val="restart"/>
                  <w:tcBorders>
                    <w:tl2br w:val="nil"/>
                    <w:tr2bl w:val="nil"/>
                  </w:tcBorders>
                  <w:shd w:val="clear" w:color="auto" w:fill="FFFFFF"/>
                  <w:noWrap w:val="0"/>
                  <w:vAlign w:val="center"/>
                </w:tcPr>
                <w:p>
                  <w:pPr>
                    <w:adjustRightInd/>
                    <w:snapToGrid/>
                    <w:spacing w:after="0"/>
                    <w:jc w:val="center"/>
                    <w:rPr>
                      <w:rFonts w:hint="default"/>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1.67×10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1.63×10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1.67×10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200</w:t>
                  </w:r>
                </w:p>
              </w:tc>
              <w:tc>
                <w:tcPr>
                  <w:tcW w:w="495" w:type="pct"/>
                  <w:vMerge w:val="restart"/>
                  <w:tcBorders>
                    <w:tl2br w:val="nil"/>
                    <w:tr2bl w:val="nil"/>
                  </w:tcBorders>
                  <w:shd w:val="clear" w:color="auto" w:fill="FFFFFF"/>
                  <w:noWrap w:val="0"/>
                  <w:vAlign w:val="center"/>
                </w:tcPr>
                <w:p>
                  <w:pPr>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1.67×10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2" w:type="pct"/>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1085</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1.63×10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5"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2023-9-28</w:t>
                  </w: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酸雾废气排放口出口6# 15m</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10596</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2.65×10</w:t>
                  </w:r>
                  <w:r>
                    <w:rPr>
                      <w:rFonts w:hint="default" w:ascii="Times New Roman" w:hAnsi="Times New Roman" w:eastAsia="宋体" w:cs="Times New Roman"/>
                      <w:color w:val="auto"/>
                      <w:sz w:val="21"/>
                      <w:szCs w:val="21"/>
                      <w:vertAlign w:val="superscript"/>
                      <w:lang w:val="en-US" w:eastAsia="zh-CN"/>
                    </w:rPr>
                    <w:t>-2</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11410</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2.85×10</w:t>
                  </w:r>
                  <w:r>
                    <w:rPr>
                      <w:rFonts w:hint="default" w:ascii="Times New Roman" w:hAnsi="Times New Roman" w:eastAsia="宋体" w:cs="Times New Roman"/>
                      <w:color w:val="auto"/>
                      <w:sz w:val="21"/>
                      <w:szCs w:val="21"/>
                      <w:vertAlign w:val="superscript"/>
                      <w:lang w:val="en-US" w:eastAsia="zh-CN"/>
                    </w:rPr>
                    <w:t>-2</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10672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2.67×10</w:t>
                  </w:r>
                  <w:r>
                    <w:rPr>
                      <w:rFonts w:hint="default" w:ascii="Times New Roman" w:hAnsi="Times New Roman" w:eastAsia="宋体" w:cs="Times New Roman"/>
                      <w:color w:val="auto"/>
                      <w:sz w:val="21"/>
                      <w:szCs w:val="21"/>
                      <w:vertAlign w:val="superscript"/>
                      <w:lang w:val="en-US" w:eastAsia="zh-CN"/>
                    </w:rPr>
                    <w:t>-2</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10596</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2.54×10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11410</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2.62×10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10672</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2.56×10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喷塑废气排放口7# 15m</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13191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0.144</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13839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0.130</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14091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0.137</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固化废气排放口出口9# 15m </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7.49×10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7.24</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8.19×10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6.12</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6.85×10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478（无量纲）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309（无量纲）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478（无量纲）</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4.72×10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5.32×10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5.82×10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1.65×10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1.70×10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1.68×10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1.65×10</w:t>
                  </w:r>
                  <w:r>
                    <w:rPr>
                      <w:rFonts w:hint="default" w:ascii="Times New Roman" w:hAnsi="Times New Roman" w:eastAsia="宋体" w:cs="Times New Roman"/>
                      <w:color w:val="auto"/>
                      <w:sz w:val="21"/>
                      <w:szCs w:val="21"/>
                      <w:vertAlign w:val="superscript"/>
                      <w:lang w:val="en-US" w:eastAsia="zh-CN"/>
                    </w:rPr>
                    <w:t>-3</w:t>
                  </w:r>
                </w:p>
              </w:tc>
              <w:tc>
                <w:tcPr>
                  <w:tcW w:w="61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498" w:type="pct"/>
                  <w:gridSpan w:val="2"/>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1131</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1.70×10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30"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2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53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537"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1119</w:t>
                  </w:r>
                </w:p>
              </w:tc>
              <w:tc>
                <w:tcPr>
                  <w:tcW w:w="57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1.68×10</w:t>
                  </w:r>
                  <w:r>
                    <w:rPr>
                      <w:rFonts w:hint="default" w:ascii="Times New Roman" w:hAnsi="Times New Roman" w:eastAsia="宋体" w:cs="Times New Roman"/>
                      <w:color w:val="auto"/>
                      <w:sz w:val="21"/>
                      <w:szCs w:val="21"/>
                      <w:vertAlign w:val="superscript"/>
                      <w:lang w:val="en-US" w:eastAsia="zh-CN"/>
                    </w:rPr>
                    <w:t>-3</w:t>
                  </w:r>
                </w:p>
              </w:tc>
              <w:tc>
                <w:tcPr>
                  <w:tcW w:w="61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498" w:type="pct"/>
                  <w:gridSpan w:val="2"/>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5000" w:type="pct"/>
                  <w:gridSpan w:val="10"/>
                  <w:tcBorders>
                    <w:tl2br w:val="nil"/>
                    <w:tr2bl w:val="nil"/>
                  </w:tcBorders>
                  <w:shd w:val="clear" w:color="auto" w:fill="FFFFFF"/>
                  <w:noWrap w:val="0"/>
                  <w:vAlign w:val="center"/>
                </w:tcPr>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参考标准：参考《工业涂装工序大气污染物排放标准》（DB 33/2146-2018）中表1大气污染物排放限值，非甲烷总烃参考</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其他</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限值，其中6#参考《大气污染物综合排放标准》（GB 16297-1996）表2新污染源大气污染物有组织排放二级限值，9#颗粒物、氮氧化物、二氧化硫参考《工业炉窑大气污染综合治理方案》（环大气</w:t>
                  </w:r>
                  <w:r>
                    <w:rPr>
                      <w:rFonts w:hint="eastAsia" w:ascii="Times New Roman" w:hAnsi="Times New Roman" w:eastAsia="宋体" w:cs="Times New Roman"/>
                      <w:color w:val="auto"/>
                      <w:sz w:val="21"/>
                      <w:szCs w:val="21"/>
                      <w:lang w:val="en-US" w:eastAsia="zh-CN"/>
                    </w:rPr>
                    <w:t>【2019】</w:t>
                  </w:r>
                  <w:r>
                    <w:rPr>
                      <w:rFonts w:hint="default" w:ascii="Times New Roman" w:hAnsi="Times New Roman" w:eastAsia="宋体" w:cs="Times New Roman"/>
                      <w:color w:val="auto"/>
                      <w:sz w:val="21"/>
                      <w:szCs w:val="21"/>
                      <w:lang w:val="en-US" w:eastAsia="zh-CN"/>
                    </w:rPr>
                    <w:t>56号）中重点区域排放限值。</w:t>
                  </w:r>
                </w:p>
              </w:tc>
            </w:tr>
          </w:tbl>
          <w:p>
            <w:pPr>
              <w:widowControl w:val="0"/>
              <w:adjustRightInd/>
              <w:snapToGrid/>
              <w:spacing w:after="0" w:line="324" w:lineRule="auto"/>
              <w:ind w:firstLine="480" w:firstLineChars="200"/>
              <w:jc w:val="both"/>
              <w:rPr>
                <w:rFonts w:hint="default" w:ascii="Times New Roman" w:hAnsi="Times New Roman" w:eastAsia="宋体" w:cs="Times New Roman"/>
                <w:bCs/>
                <w:color w:val="auto"/>
                <w:kern w:val="2"/>
                <w:sz w:val="24"/>
                <w:lang w:val="en-US" w:eastAsia="zh-CN"/>
              </w:rPr>
            </w:pPr>
            <w:r>
              <w:rPr>
                <w:rFonts w:hint="eastAsia" w:ascii="Times New Roman" w:hAnsi="Times New Roman" w:eastAsia="宋体" w:cs="Times New Roman"/>
                <w:bCs/>
                <w:color w:val="auto"/>
                <w:kern w:val="2"/>
                <w:sz w:val="24"/>
                <w:lang w:val="en-US" w:eastAsia="zh-CN"/>
              </w:rPr>
              <w:t>在2023年9月27日-28日由</w:t>
            </w:r>
            <w:r>
              <w:rPr>
                <w:rFonts w:hint="eastAsia" w:ascii="Times New Roman" w:hAnsi="Times New Roman" w:eastAsia="宋体" w:cs="Times New Roman"/>
                <w:bCs/>
                <w:color w:val="auto"/>
                <w:kern w:val="2"/>
                <w:sz w:val="24"/>
                <w:lang w:eastAsia="zh-CN"/>
              </w:rPr>
              <w:t>浙江甬信检测技术有限公司</w:t>
            </w:r>
            <w:r>
              <w:rPr>
                <w:rFonts w:hint="eastAsia" w:ascii="Times New Roman" w:hAnsi="Times New Roman" w:eastAsia="宋体" w:cs="Times New Roman"/>
                <w:bCs/>
                <w:color w:val="auto"/>
                <w:kern w:val="2"/>
                <w:sz w:val="24"/>
                <w:lang w:val="en-US" w:eastAsia="zh-CN"/>
              </w:rPr>
              <w:t>对</w:t>
            </w:r>
            <w:r>
              <w:rPr>
                <w:rFonts w:hint="eastAsia" w:ascii="宋体" w:hAnsi="宋体" w:eastAsia="宋体" w:cs="宋体"/>
                <w:color w:val="auto"/>
                <w:kern w:val="2"/>
                <w:sz w:val="24"/>
                <w:szCs w:val="24"/>
                <w:highlight w:val="none"/>
                <w:lang w:eastAsia="zh-CN"/>
              </w:rPr>
              <w:t>宁波莱堡制冷设备有限公司</w:t>
            </w:r>
            <w:r>
              <w:rPr>
                <w:rFonts w:hint="eastAsia" w:ascii="Times New Roman" w:hAnsi="Times New Roman" w:eastAsia="宋体" w:cs="Times New Roman"/>
                <w:bCs/>
                <w:color w:val="auto"/>
                <w:kern w:val="2"/>
                <w:sz w:val="24"/>
                <w:lang w:val="en-US" w:eastAsia="zh-CN"/>
              </w:rPr>
              <w:t>完成废气、废水、噪声检测后，</w:t>
            </w:r>
            <w:r>
              <w:rPr>
                <w:rFonts w:hint="eastAsia" w:ascii="宋体" w:hAnsi="宋体" w:eastAsia="宋体" w:cs="宋体"/>
                <w:color w:val="auto"/>
                <w:kern w:val="2"/>
                <w:sz w:val="24"/>
                <w:szCs w:val="24"/>
                <w:highlight w:val="none"/>
                <w:lang w:eastAsia="zh-CN"/>
              </w:rPr>
              <w:t>宁波莱堡制冷设备有限公司</w:t>
            </w:r>
            <w:r>
              <w:rPr>
                <w:rFonts w:hint="eastAsia" w:ascii="Times New Roman" w:hAnsi="Times New Roman" w:eastAsia="宋体" w:cs="Times New Roman"/>
                <w:bCs/>
                <w:color w:val="auto"/>
                <w:kern w:val="2"/>
                <w:sz w:val="24"/>
                <w:lang w:val="en-US" w:eastAsia="zh-CN"/>
              </w:rPr>
              <w:t>对浸漆及晾干废气处理设施内活性炭进行更换，选用了颗粒更大、吸附效果更好的活性炭，并于2024年1月再次委托</w:t>
            </w:r>
            <w:r>
              <w:rPr>
                <w:rFonts w:hint="eastAsia" w:ascii="Times New Roman" w:hAnsi="Times New Roman" w:eastAsia="宋体" w:cs="Times New Roman"/>
                <w:bCs/>
                <w:color w:val="auto"/>
                <w:kern w:val="2"/>
                <w:sz w:val="24"/>
                <w:lang w:eastAsia="zh-CN"/>
              </w:rPr>
              <w:t>浙江甬信检测技术有限公司</w:t>
            </w:r>
            <w:r>
              <w:rPr>
                <w:rFonts w:hint="eastAsia" w:ascii="Times New Roman" w:hAnsi="Times New Roman" w:eastAsia="宋体" w:cs="Times New Roman"/>
                <w:bCs/>
                <w:color w:val="auto"/>
                <w:kern w:val="2"/>
                <w:sz w:val="24"/>
                <w:lang w:val="en-US" w:eastAsia="zh-CN"/>
              </w:rPr>
              <w:t>对企业浸漆晾干废气进行检测。</w:t>
            </w:r>
          </w:p>
          <w:p>
            <w:pPr>
              <w:widowControl w:val="0"/>
              <w:adjustRightInd/>
              <w:snapToGrid/>
              <w:spacing w:after="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7-4 有</w:t>
            </w:r>
            <w:r>
              <w:rPr>
                <w:rFonts w:hint="default" w:ascii="Times New Roman" w:hAnsi="Times New Roman" w:eastAsia="宋体" w:cs="Times New Roman"/>
                <w:b/>
                <w:bCs/>
                <w:color w:val="auto"/>
                <w:sz w:val="21"/>
                <w:szCs w:val="21"/>
                <w:lang w:val="en-US" w:eastAsia="zh-CN"/>
              </w:rPr>
              <w:t>组织废气</w:t>
            </w:r>
            <w:r>
              <w:rPr>
                <w:rFonts w:hint="default" w:ascii="Times New Roman" w:hAnsi="Times New Roman" w:eastAsia="宋体" w:cs="Times New Roman"/>
                <w:b/>
                <w:bCs/>
                <w:color w:val="auto"/>
                <w:sz w:val="21"/>
                <w:szCs w:val="21"/>
              </w:rPr>
              <w:t>检测结果</w:t>
            </w:r>
            <w:r>
              <w:rPr>
                <w:rFonts w:hint="eastAsia" w:ascii="Times New Roman" w:hAnsi="Times New Roman" w:eastAsia="宋体" w:cs="Times New Roman"/>
                <w:b/>
                <w:bCs/>
                <w:color w:val="auto"/>
                <w:sz w:val="21"/>
                <w:szCs w:val="21"/>
                <w:lang w:val="en-US" w:eastAsia="zh-CN"/>
              </w:rPr>
              <w:t>2</w:t>
            </w:r>
          </w:p>
          <w:tbl>
            <w:tblPr>
              <w:tblStyle w:val="11"/>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10"/>
              <w:gridCol w:w="1914"/>
              <w:gridCol w:w="1367"/>
              <w:gridCol w:w="930"/>
              <w:gridCol w:w="930"/>
              <w:gridCol w:w="1147"/>
              <w:gridCol w:w="947"/>
              <w:gridCol w:w="10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w:t>
                  </w:r>
                  <w:r>
                    <w:rPr>
                      <w:rFonts w:hint="eastAsia" w:ascii="Times New Roman" w:hAnsi="Times New Roman" w:eastAsia="宋体" w:cs="Times New Roman"/>
                      <w:color w:val="auto"/>
                      <w:sz w:val="21"/>
                      <w:szCs w:val="21"/>
                      <w:lang w:val="en-US" w:eastAsia="zh-CN"/>
                    </w:rPr>
                    <w:t>日期</w:t>
                  </w:r>
                </w:p>
              </w:tc>
              <w:tc>
                <w:tcPr>
                  <w:tcW w:w="1048"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74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检测频次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标干风量（m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533"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2024-1-4</w:t>
                  </w:r>
                </w:p>
              </w:tc>
              <w:tc>
                <w:tcPr>
                  <w:tcW w:w="104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DA004浸漆晾干废气</w:t>
                  </w:r>
                </w:p>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15m</w:t>
                  </w: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9874</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0.115</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9970</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0.116</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9947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0.108</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9874</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13.4</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0.132</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9970</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15.7</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0.157</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9947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15.1</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0.150</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9874</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9970</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9947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2024-1-5</w:t>
                  </w:r>
                </w:p>
              </w:tc>
              <w:tc>
                <w:tcPr>
                  <w:tcW w:w="1048"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DA004浸漆晾干废气</w:t>
                  </w:r>
                </w:p>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15m</w:t>
                  </w: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9997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0.104</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9981</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0.108</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10022</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0.105</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9997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0.130</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9981</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15.2</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0.152</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10022</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0.146</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9997</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9981</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309</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048"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749"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510"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10022</w:t>
                  </w:r>
                </w:p>
              </w:tc>
              <w:tc>
                <w:tcPr>
                  <w:tcW w:w="62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val="en-US" w:eastAsia="zh-CN"/>
                    </w:rPr>
                    <w:t>)</w:t>
                  </w:r>
                </w:p>
              </w:tc>
              <w:tc>
                <w:tcPr>
                  <w:tcW w:w="51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33"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shd w:val="clear" w:color="auto" w:fill="FFFFFF"/>
                  <w:noWrap w:val="0"/>
                  <w:vAlign w:val="center"/>
                </w:tcPr>
                <w:p>
                  <w:pPr>
                    <w:pStyle w:val="20"/>
                    <w:tabs>
                      <w:tab w:val="left" w:pos="-2848"/>
                    </w:tabs>
                    <w:adjustRightInd/>
                    <w:snapToGrid/>
                    <w:spacing w:after="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参考</w:t>
                  </w:r>
                  <w:r>
                    <w:rPr>
                      <w:rFonts w:hint="default" w:ascii="Times New Roman" w:hAnsi="Times New Roman" w:eastAsia="宋体" w:cs="Times New Roman"/>
                      <w:color w:val="auto"/>
                      <w:sz w:val="21"/>
                      <w:szCs w:val="21"/>
                      <w:lang w:val="en-US" w:eastAsia="zh-CN"/>
                    </w:rPr>
                    <w:t>标准：</w:t>
                  </w:r>
                  <w:r>
                    <w:rPr>
                      <w:rFonts w:hint="eastAsia" w:ascii="Times New Roman" w:hAnsi="Times New Roman" w:eastAsia="宋体" w:cs="Times New Roman"/>
                      <w:color w:val="auto"/>
                      <w:sz w:val="21"/>
                      <w:szCs w:val="21"/>
                      <w:lang w:val="en-US" w:eastAsia="zh-CN"/>
                    </w:rPr>
                    <w:t>参考《工业涂装工序大气污染物排放标准》</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DB 33/2146-2018</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表1大气污染物排放限值，其中非甲烷总烃参考“其他”限值。</w:t>
                  </w:r>
                </w:p>
              </w:tc>
            </w:tr>
          </w:tbl>
          <w:p>
            <w:pPr>
              <w:widowControl w:val="0"/>
              <w:adjustRightInd/>
              <w:snapToGrid/>
              <w:spacing w:after="0" w:line="324" w:lineRule="auto"/>
              <w:ind w:firstLine="480" w:firstLineChars="200"/>
              <w:jc w:val="both"/>
              <w:rPr>
                <w:rFonts w:hint="eastAsia" w:ascii="Times New Roman" w:hAnsi="Times New Roman" w:eastAsia="宋体" w:cs="Times New Roman"/>
                <w:bCs/>
                <w:color w:val="auto"/>
                <w:kern w:val="2"/>
                <w:sz w:val="24"/>
                <w:lang w:eastAsia="zh-CN"/>
              </w:rPr>
            </w:pPr>
          </w:p>
          <w:p>
            <w:pPr>
              <w:pStyle w:val="2"/>
              <w:rPr>
                <w:rFonts w:hint="eastAsia" w:ascii="Times New Roman" w:hAnsi="Times New Roman" w:eastAsia="宋体" w:cs="Times New Roman"/>
                <w:bCs/>
                <w:color w:val="auto"/>
                <w:kern w:val="2"/>
                <w:sz w:val="24"/>
                <w:lang w:eastAsia="zh-CN"/>
              </w:rPr>
            </w:pPr>
          </w:p>
          <w:p>
            <w:pPr>
              <w:pStyle w:val="2"/>
              <w:rPr>
                <w:rFonts w:hint="eastAsia" w:ascii="Times New Roman" w:hAnsi="Times New Roman" w:eastAsia="宋体" w:cs="Times New Roman"/>
                <w:bCs/>
                <w:color w:val="auto"/>
                <w:kern w:val="2"/>
                <w:sz w:val="24"/>
                <w:lang w:eastAsia="zh-CN"/>
              </w:rPr>
            </w:pPr>
          </w:p>
          <w:p>
            <w:pPr>
              <w:pStyle w:val="2"/>
              <w:rPr>
                <w:rFonts w:hint="eastAsia" w:ascii="Times New Roman" w:hAnsi="Times New Roman" w:eastAsia="宋体" w:cs="Times New Roman"/>
                <w:bCs/>
                <w:color w:val="auto"/>
                <w:kern w:val="2"/>
                <w:sz w:val="24"/>
                <w:lang w:eastAsia="zh-CN"/>
              </w:rPr>
            </w:pPr>
          </w:p>
          <w:p>
            <w:pPr>
              <w:widowControl w:val="0"/>
              <w:adjustRightInd/>
              <w:snapToGrid/>
              <w:spacing w:after="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7-5 有</w:t>
            </w:r>
            <w:r>
              <w:rPr>
                <w:rFonts w:hint="default" w:ascii="Times New Roman" w:hAnsi="Times New Roman" w:eastAsia="宋体" w:cs="Times New Roman"/>
                <w:b/>
                <w:bCs/>
                <w:color w:val="auto"/>
                <w:sz w:val="21"/>
                <w:szCs w:val="21"/>
                <w:lang w:val="en-US" w:eastAsia="zh-CN"/>
              </w:rPr>
              <w:t>组织废气</w:t>
            </w:r>
            <w:r>
              <w:rPr>
                <w:rFonts w:hint="default" w:ascii="Times New Roman" w:hAnsi="Times New Roman" w:eastAsia="宋体" w:cs="Times New Roman"/>
                <w:b/>
                <w:bCs/>
                <w:color w:val="auto"/>
                <w:sz w:val="21"/>
                <w:szCs w:val="21"/>
              </w:rPr>
              <w:t>检测</w:t>
            </w:r>
            <w:r>
              <w:rPr>
                <w:rFonts w:hint="eastAsia" w:ascii="Times New Roman" w:hAnsi="Times New Roman" w:eastAsia="宋体" w:cs="Times New Roman"/>
                <w:b/>
                <w:bCs/>
                <w:color w:val="auto"/>
                <w:sz w:val="21"/>
                <w:szCs w:val="21"/>
                <w:lang w:val="en-US" w:eastAsia="zh-CN"/>
              </w:rPr>
              <w:t>最大值统计表</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89"/>
              <w:gridCol w:w="1215"/>
              <w:gridCol w:w="1575"/>
              <w:gridCol w:w="976"/>
              <w:gridCol w:w="2095"/>
              <w:gridCol w:w="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672"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1411" w:type="pct"/>
                  <w:gridSpan w:val="2"/>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检测最大值</w:t>
                  </w:r>
                </w:p>
              </w:tc>
              <w:tc>
                <w:tcPr>
                  <w:tcW w:w="1705" w:type="pct"/>
                  <w:gridSpan w:val="2"/>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p>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酸雾废气排放口出口</w:t>
                  </w: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-2</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6</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93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喷塑废气排放口</w:t>
                  </w: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0.157</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固化废气排放口出口</w:t>
                  </w: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9.03</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w:t>
                  </w:r>
                  <w:r>
                    <w:rPr>
                      <w:rFonts w:hint="eastAsia" w:ascii="Times New Roman" w:hAnsi="Times New Roman" w:eastAsia="宋体" w:cs="Times New Roman"/>
                      <w:color w:val="auto"/>
                      <w:sz w:val="21"/>
                      <w:szCs w:val="21"/>
                      <w:vertAlign w:val="superscript"/>
                      <w:lang w:val="en-US" w:eastAsia="zh-CN"/>
                    </w:rPr>
                    <w:t>2</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549</w:t>
                  </w:r>
                  <w:r>
                    <w:rPr>
                      <w:rFonts w:hint="default" w:ascii="Times New Roman" w:hAnsi="Times New Roman" w:eastAsia="宋体" w:cs="Times New Roman"/>
                      <w:color w:val="auto"/>
                      <w:sz w:val="21"/>
                      <w:szCs w:val="21"/>
                      <w:lang w:val="en-US" w:eastAsia="zh-CN"/>
                    </w:rPr>
                    <w:t>（无量纲）</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1000（无量纲）</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82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restar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浸漆晾干废气</w:t>
                  </w:r>
                </w:p>
              </w:tc>
              <w:tc>
                <w:tcPr>
                  <w:tcW w:w="672"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871"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w:t>
                  </w:r>
                </w:p>
              </w:tc>
              <w:tc>
                <w:tcPr>
                  <w:tcW w:w="53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0.116</w:t>
                  </w:r>
                </w:p>
              </w:tc>
              <w:tc>
                <w:tcPr>
                  <w:tcW w:w="1159"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545" w:type="pct"/>
                  <w:tcBorders>
                    <w:tl2br w:val="nil"/>
                    <w:tr2bl w:val="nil"/>
                  </w:tcBorders>
                  <w:shd w:val="clear" w:color="auto" w:fill="FFFFFF"/>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871"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15.7</w:t>
                  </w:r>
                </w:p>
              </w:tc>
              <w:tc>
                <w:tcPr>
                  <w:tcW w:w="539"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0.157</w:t>
                  </w:r>
                </w:p>
              </w:tc>
              <w:tc>
                <w:tcPr>
                  <w:tcW w:w="1159"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545"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11" w:type="pct"/>
                  <w:vMerge w:val="continue"/>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72"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871"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724</w:t>
                  </w:r>
                </w:p>
              </w:tc>
              <w:tc>
                <w:tcPr>
                  <w:tcW w:w="539"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1159"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1000（无量纲）</w:t>
                  </w:r>
                </w:p>
              </w:tc>
              <w:tc>
                <w:tcPr>
                  <w:tcW w:w="545" w:type="pct"/>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bl>
          <w:p>
            <w:pPr>
              <w:widowControl w:val="0"/>
              <w:adjustRightInd/>
              <w:snapToGrid/>
              <w:spacing w:after="0" w:line="324" w:lineRule="auto"/>
              <w:ind w:firstLine="480" w:firstLineChars="200"/>
              <w:jc w:val="both"/>
              <w:rPr>
                <w:rFonts w:hint="eastAsia" w:ascii="Times New Roman" w:hAnsi="Times New Roman" w:eastAsia="宋体" w:cs="Times New Roman"/>
                <w:bCs/>
                <w:color w:val="auto"/>
                <w:kern w:val="2"/>
                <w:sz w:val="24"/>
                <w:lang w:val="en-US" w:eastAsia="zh-CN"/>
              </w:rPr>
            </w:pPr>
            <w:r>
              <w:rPr>
                <w:rFonts w:hint="eastAsia" w:ascii="Times New Roman" w:hAnsi="Times New Roman" w:eastAsia="宋体" w:cs="Times New Roman"/>
                <w:bCs/>
                <w:color w:val="auto"/>
                <w:kern w:val="2"/>
                <w:sz w:val="24"/>
                <w:lang w:eastAsia="zh-CN"/>
              </w:rPr>
              <w:t>根据浙江甬信检测技术有限公司出具的检测报告（报告编号：YXE202</w:t>
            </w:r>
            <w:r>
              <w:rPr>
                <w:rFonts w:hint="eastAsia" w:ascii="Times New Roman" w:hAnsi="Times New Roman" w:eastAsia="宋体" w:cs="Times New Roman"/>
                <w:bCs/>
                <w:color w:val="auto"/>
                <w:kern w:val="2"/>
                <w:sz w:val="24"/>
                <w:lang w:val="en-US" w:eastAsia="zh-CN"/>
              </w:rPr>
              <w:t>32751、</w:t>
            </w:r>
            <w:r>
              <w:rPr>
                <w:rFonts w:hint="eastAsia" w:ascii="Times New Roman" w:hAnsi="Times New Roman" w:eastAsia="宋体" w:cs="Times New Roman"/>
                <w:bCs/>
                <w:color w:val="auto"/>
                <w:kern w:val="2"/>
                <w:sz w:val="24"/>
                <w:lang w:eastAsia="zh-CN"/>
              </w:rPr>
              <w:t>报告编号：（气）YXE</w:t>
            </w:r>
            <w:r>
              <w:rPr>
                <w:rFonts w:hint="eastAsia" w:ascii="Times New Roman" w:hAnsi="Times New Roman" w:eastAsia="宋体" w:cs="Times New Roman"/>
                <w:bCs/>
                <w:color w:val="auto"/>
                <w:kern w:val="2"/>
                <w:sz w:val="24"/>
                <w:lang w:val="en-US" w:eastAsia="zh-CN"/>
              </w:rPr>
              <w:t>24010204</w:t>
            </w:r>
            <w:r>
              <w:rPr>
                <w:rFonts w:hint="eastAsia" w:ascii="Times New Roman" w:hAnsi="Times New Roman" w:eastAsia="宋体" w:cs="Times New Roman"/>
                <w:bCs/>
                <w:color w:val="auto"/>
                <w:kern w:val="2"/>
                <w:sz w:val="24"/>
                <w:lang w:eastAsia="zh-CN"/>
              </w:rPr>
              <w:t>）：</w:t>
            </w:r>
            <w:r>
              <w:rPr>
                <w:rFonts w:hint="eastAsia" w:ascii="宋体" w:hAnsi="宋体" w:eastAsia="宋体" w:cs="宋体"/>
                <w:color w:val="auto"/>
                <w:kern w:val="0"/>
                <w:sz w:val="24"/>
                <w:szCs w:val="24"/>
                <w:lang w:val="en-US" w:eastAsia="zh-CN"/>
              </w:rPr>
              <w:t>验收检测期间，</w:t>
            </w:r>
            <w:r>
              <w:rPr>
                <w:rFonts w:hint="eastAsia" w:ascii="Times New Roman" w:hAnsi="Times New Roman" w:eastAsia="宋体" w:cs="Times New Roman"/>
                <w:bCs/>
                <w:color w:val="auto"/>
                <w:kern w:val="2"/>
                <w:sz w:val="24"/>
                <w:lang w:eastAsia="zh-CN"/>
              </w:rPr>
              <w:t>本项目</w:t>
            </w:r>
            <w:r>
              <w:rPr>
                <w:rFonts w:hint="default" w:ascii="Times New Roman" w:hAnsi="Times New Roman" w:eastAsia="宋体" w:cs="Times New Roman"/>
                <w:bCs/>
                <w:color w:val="auto"/>
                <w:kern w:val="2"/>
                <w:sz w:val="24"/>
                <w:lang w:val="en-US" w:eastAsia="zh-CN"/>
              </w:rPr>
              <w:t>酸雾废气排放口氯化氢</w:t>
            </w:r>
            <w:r>
              <w:rPr>
                <w:rFonts w:hint="eastAsia" w:ascii="Times New Roman" w:hAnsi="Times New Roman" w:eastAsia="宋体" w:cs="Times New Roman"/>
                <w:bCs/>
                <w:color w:val="auto"/>
                <w:kern w:val="2"/>
                <w:sz w:val="24"/>
                <w:lang w:val="en-US" w:eastAsia="zh-CN"/>
              </w:rPr>
              <w:t>、</w:t>
            </w:r>
            <w:r>
              <w:rPr>
                <w:rFonts w:hint="default" w:ascii="Times New Roman" w:hAnsi="Times New Roman" w:eastAsia="宋体" w:cs="Times New Roman"/>
                <w:bCs/>
                <w:color w:val="auto"/>
                <w:kern w:val="2"/>
                <w:sz w:val="24"/>
                <w:lang w:val="en-US" w:eastAsia="zh-CN"/>
              </w:rPr>
              <w:t>硫酸雾</w:t>
            </w:r>
            <w:r>
              <w:rPr>
                <w:rFonts w:hint="eastAsia" w:ascii="Times New Roman" w:hAnsi="Times New Roman" w:eastAsia="宋体" w:cs="Times New Roman"/>
                <w:bCs/>
                <w:color w:val="auto"/>
                <w:kern w:val="2"/>
                <w:sz w:val="24"/>
                <w:lang w:eastAsia="zh-CN"/>
              </w:rPr>
              <w:t>排放浓度</w:t>
            </w:r>
            <w:r>
              <w:rPr>
                <w:rFonts w:hint="eastAsia" w:ascii="Times New Roman" w:hAnsi="Times New Roman" w:eastAsia="宋体" w:cs="Times New Roman"/>
                <w:bCs/>
                <w:color w:val="auto"/>
                <w:kern w:val="2"/>
                <w:sz w:val="24"/>
                <w:lang w:val="en-US" w:eastAsia="zh-CN"/>
              </w:rPr>
              <w:t>最大值</w:t>
            </w:r>
            <w:r>
              <w:rPr>
                <w:rFonts w:hint="eastAsia" w:ascii="Times New Roman" w:hAnsi="Times New Roman" w:eastAsia="宋体" w:cs="Times New Roman"/>
                <w:bCs/>
                <w:color w:val="auto"/>
                <w:kern w:val="2"/>
                <w:sz w:val="24"/>
                <w:lang w:eastAsia="zh-CN"/>
              </w:rPr>
              <w:t>与排放速率</w:t>
            </w:r>
            <w:r>
              <w:rPr>
                <w:rFonts w:hint="eastAsia" w:ascii="Times New Roman" w:hAnsi="Times New Roman" w:eastAsia="宋体" w:cs="Times New Roman"/>
                <w:bCs/>
                <w:color w:val="auto"/>
                <w:kern w:val="2"/>
                <w:sz w:val="24"/>
                <w:lang w:val="en-US" w:eastAsia="zh-CN"/>
              </w:rPr>
              <w:t>最大值</w:t>
            </w:r>
            <w:r>
              <w:rPr>
                <w:rFonts w:hint="eastAsia" w:ascii="Times New Roman" w:hAnsi="Times New Roman" w:eastAsia="宋体" w:cs="Times New Roman"/>
                <w:bCs/>
                <w:color w:val="auto"/>
                <w:kern w:val="2"/>
                <w:sz w:val="24"/>
                <w:lang w:eastAsia="zh-CN"/>
              </w:rPr>
              <w:t>均能够满足《大气污染物综合排放标准》（GB16297-1996）</w:t>
            </w:r>
            <w:r>
              <w:rPr>
                <w:rFonts w:hint="default" w:ascii="Times New Roman" w:hAnsi="Times New Roman" w:eastAsia="宋体" w:cs="Times New Roman"/>
                <w:bCs/>
                <w:color w:val="auto"/>
                <w:kern w:val="2"/>
                <w:sz w:val="24"/>
                <w:lang w:val="en-US" w:eastAsia="zh-CN"/>
              </w:rPr>
              <w:t>表2新污染源大气污染物有组织排放二级限值</w:t>
            </w:r>
            <w:r>
              <w:rPr>
                <w:rFonts w:hint="eastAsia" w:ascii="Times New Roman" w:hAnsi="Times New Roman" w:eastAsia="宋体" w:cs="Times New Roman"/>
                <w:bCs/>
                <w:color w:val="auto"/>
                <w:kern w:val="2"/>
                <w:sz w:val="24"/>
                <w:lang w:val="en-US" w:eastAsia="zh-CN"/>
              </w:rPr>
              <w:t>；</w:t>
            </w:r>
            <w:r>
              <w:rPr>
                <w:rFonts w:hint="default" w:ascii="Times New Roman" w:hAnsi="Times New Roman" w:eastAsia="宋体" w:cs="Times New Roman"/>
                <w:bCs/>
                <w:color w:val="auto"/>
                <w:kern w:val="2"/>
                <w:sz w:val="24"/>
                <w:lang w:val="en-US" w:eastAsia="zh-CN"/>
              </w:rPr>
              <w:t>喷塑废气排放口</w:t>
            </w:r>
            <w:r>
              <w:rPr>
                <w:rFonts w:hint="eastAsia" w:ascii="Times New Roman" w:hAnsi="Times New Roman" w:eastAsia="宋体" w:cs="Times New Roman"/>
                <w:bCs/>
                <w:color w:val="auto"/>
                <w:kern w:val="2"/>
                <w:sz w:val="24"/>
                <w:lang w:val="en-US" w:eastAsia="zh-CN"/>
              </w:rPr>
              <w:t>颗粒物</w:t>
            </w:r>
            <w:r>
              <w:rPr>
                <w:rFonts w:hint="eastAsia" w:ascii="Times New Roman" w:hAnsi="Times New Roman" w:eastAsia="宋体" w:cs="Times New Roman"/>
                <w:bCs/>
                <w:color w:val="auto"/>
                <w:kern w:val="2"/>
                <w:sz w:val="24"/>
                <w:lang w:eastAsia="zh-CN"/>
              </w:rPr>
              <w:t>排放浓度</w:t>
            </w:r>
            <w:r>
              <w:rPr>
                <w:rFonts w:hint="eastAsia" w:ascii="Times New Roman" w:hAnsi="Times New Roman" w:eastAsia="宋体" w:cs="Times New Roman"/>
                <w:bCs/>
                <w:color w:val="auto"/>
                <w:kern w:val="2"/>
                <w:sz w:val="24"/>
                <w:lang w:val="en-US" w:eastAsia="zh-CN"/>
              </w:rPr>
              <w:t>最大值满足</w:t>
            </w:r>
            <w:r>
              <w:rPr>
                <w:rFonts w:hint="default" w:ascii="Times New Roman" w:hAnsi="Times New Roman" w:eastAsia="宋体" w:cs="Times New Roman"/>
                <w:bCs/>
                <w:color w:val="auto"/>
                <w:kern w:val="2"/>
                <w:sz w:val="24"/>
                <w:lang w:val="en-US" w:eastAsia="zh-CN"/>
              </w:rPr>
              <w:t>《工业涂装工序大气污染物排放标准》（DB 33/2146-2018）中表1大气污染物排放限值</w:t>
            </w:r>
            <w:r>
              <w:rPr>
                <w:rFonts w:hint="eastAsia" w:ascii="Times New Roman" w:hAnsi="Times New Roman" w:eastAsia="宋体" w:cs="Times New Roman"/>
                <w:bCs/>
                <w:color w:val="auto"/>
                <w:kern w:val="2"/>
                <w:sz w:val="24"/>
                <w:lang w:val="en-US" w:eastAsia="zh-CN"/>
              </w:rPr>
              <w:t>要求；浸漆晾干废气排放口臭气浓度、颗粒物、非甲烷总烃</w:t>
            </w:r>
            <w:r>
              <w:rPr>
                <w:rFonts w:hint="eastAsia" w:ascii="Times New Roman" w:hAnsi="Times New Roman" w:eastAsia="宋体" w:cs="Times New Roman"/>
                <w:bCs/>
                <w:color w:val="auto"/>
                <w:kern w:val="2"/>
                <w:sz w:val="24"/>
                <w:lang w:eastAsia="zh-CN"/>
              </w:rPr>
              <w:t>排放浓度</w:t>
            </w:r>
            <w:r>
              <w:rPr>
                <w:rFonts w:hint="eastAsia" w:ascii="Times New Roman" w:hAnsi="Times New Roman" w:eastAsia="宋体" w:cs="Times New Roman"/>
                <w:bCs/>
                <w:color w:val="auto"/>
                <w:kern w:val="2"/>
                <w:sz w:val="24"/>
                <w:lang w:val="en-US" w:eastAsia="zh-CN"/>
              </w:rPr>
              <w:t>最大值满足</w:t>
            </w:r>
            <w:r>
              <w:rPr>
                <w:rFonts w:hint="default" w:ascii="Times New Roman" w:hAnsi="Times New Roman" w:eastAsia="宋体" w:cs="Times New Roman"/>
                <w:bCs/>
                <w:color w:val="auto"/>
                <w:kern w:val="2"/>
                <w:sz w:val="24"/>
                <w:lang w:val="en-US" w:eastAsia="zh-CN"/>
              </w:rPr>
              <w:t>《工业涂装工序大气污染物排放标准》（DB 33/2146-2018）中表1大气污染物排放限值</w:t>
            </w:r>
            <w:r>
              <w:rPr>
                <w:rFonts w:hint="eastAsia" w:ascii="Times New Roman" w:hAnsi="Times New Roman" w:eastAsia="宋体" w:cs="Times New Roman"/>
                <w:bCs/>
                <w:color w:val="auto"/>
                <w:kern w:val="2"/>
                <w:sz w:val="24"/>
                <w:lang w:val="en-US" w:eastAsia="zh-CN"/>
              </w:rPr>
              <w:t>要求；固化废气排放口（含燃烧废气）臭气浓度、颗粒物、非甲烷总烃</w:t>
            </w:r>
            <w:r>
              <w:rPr>
                <w:rFonts w:hint="eastAsia" w:ascii="Times New Roman" w:hAnsi="Times New Roman" w:eastAsia="宋体" w:cs="Times New Roman"/>
                <w:bCs/>
                <w:color w:val="auto"/>
                <w:kern w:val="2"/>
                <w:sz w:val="24"/>
                <w:lang w:eastAsia="zh-CN"/>
              </w:rPr>
              <w:t>排放浓度</w:t>
            </w:r>
            <w:r>
              <w:rPr>
                <w:rFonts w:hint="eastAsia" w:ascii="Times New Roman" w:hAnsi="Times New Roman" w:eastAsia="宋体" w:cs="Times New Roman"/>
                <w:bCs/>
                <w:color w:val="auto"/>
                <w:kern w:val="2"/>
                <w:sz w:val="24"/>
                <w:lang w:val="en-US" w:eastAsia="zh-CN"/>
              </w:rPr>
              <w:t>最大值满足</w:t>
            </w:r>
            <w:r>
              <w:rPr>
                <w:rFonts w:hint="default" w:ascii="Times New Roman" w:hAnsi="Times New Roman" w:eastAsia="宋体" w:cs="Times New Roman"/>
                <w:bCs/>
                <w:color w:val="auto"/>
                <w:kern w:val="2"/>
                <w:sz w:val="24"/>
                <w:lang w:val="en-US" w:eastAsia="zh-CN"/>
              </w:rPr>
              <w:t>《工业涂装工序大气污染物排放标准》（DB 33/2146-2018）中表1大气污染物排放限值</w:t>
            </w:r>
            <w:r>
              <w:rPr>
                <w:rFonts w:hint="eastAsia" w:ascii="Times New Roman" w:hAnsi="Times New Roman" w:eastAsia="宋体" w:cs="Times New Roman"/>
                <w:bCs/>
                <w:color w:val="auto"/>
                <w:kern w:val="2"/>
                <w:sz w:val="24"/>
                <w:lang w:val="en-US" w:eastAsia="zh-CN"/>
              </w:rPr>
              <w:t>要求，二氧化硫、氮氧化物</w:t>
            </w:r>
            <w:r>
              <w:rPr>
                <w:rFonts w:hint="eastAsia" w:ascii="Times New Roman" w:hAnsi="Times New Roman" w:eastAsia="宋体" w:cs="Times New Roman"/>
                <w:bCs/>
                <w:color w:val="auto"/>
                <w:kern w:val="2"/>
                <w:sz w:val="24"/>
                <w:lang w:eastAsia="zh-CN"/>
              </w:rPr>
              <w:t>排放浓度</w:t>
            </w:r>
            <w:r>
              <w:rPr>
                <w:rFonts w:hint="eastAsia" w:ascii="Times New Roman" w:hAnsi="Times New Roman" w:eastAsia="宋体" w:cs="Times New Roman"/>
                <w:bCs/>
                <w:color w:val="auto"/>
                <w:kern w:val="2"/>
                <w:sz w:val="24"/>
                <w:lang w:val="en-US" w:eastAsia="zh-CN"/>
              </w:rPr>
              <w:t>最大值满足</w:t>
            </w:r>
            <w:r>
              <w:rPr>
                <w:rFonts w:hint="default" w:ascii="Times New Roman" w:hAnsi="Times New Roman" w:eastAsia="宋体" w:cs="Times New Roman"/>
                <w:bCs/>
                <w:color w:val="auto"/>
                <w:kern w:val="2"/>
                <w:sz w:val="24"/>
                <w:lang w:eastAsia="zh-CN"/>
              </w:rPr>
              <w:t>《工业炉窑大气污染综合治理方案》的通知（环大气[2019]56号）要求</w:t>
            </w:r>
            <w:r>
              <w:rPr>
                <w:rFonts w:hint="eastAsia" w:ascii="Times New Roman" w:hAnsi="Times New Roman" w:eastAsia="宋体" w:cs="Times New Roman"/>
                <w:bCs/>
                <w:color w:val="auto"/>
                <w:kern w:val="2"/>
                <w:sz w:val="24"/>
                <w:lang w:eastAsia="zh-CN"/>
              </w:rPr>
              <w:t>。</w:t>
            </w:r>
          </w:p>
          <w:p>
            <w:pPr>
              <w:widowControl w:val="0"/>
              <w:adjustRightInd/>
              <w:snapToGrid/>
              <w:spacing w:after="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7-6 </w:t>
            </w:r>
            <w:r>
              <w:rPr>
                <w:rFonts w:hint="default" w:ascii="Times New Roman" w:hAnsi="Times New Roman" w:eastAsia="宋体" w:cs="Times New Roman"/>
                <w:b/>
                <w:bCs/>
                <w:color w:val="auto"/>
                <w:sz w:val="21"/>
                <w:szCs w:val="21"/>
                <w:lang w:val="en-US" w:eastAsia="zh-CN"/>
              </w:rPr>
              <w:t>无组织废气</w:t>
            </w:r>
            <w:r>
              <w:rPr>
                <w:rFonts w:hint="default" w:ascii="Times New Roman" w:hAnsi="Times New Roman" w:eastAsia="宋体" w:cs="Times New Roman"/>
                <w:b/>
                <w:bCs/>
                <w:color w:val="auto"/>
                <w:sz w:val="21"/>
                <w:szCs w:val="21"/>
              </w:rPr>
              <w:t>检测结果</w:t>
            </w:r>
            <w:r>
              <w:rPr>
                <w:rFonts w:hint="eastAsia" w:ascii="Times New Roman" w:hAnsi="Times New Roman" w:eastAsia="宋体" w:cs="Times New Roman"/>
                <w:b/>
                <w:bCs/>
                <w:color w:val="auto"/>
                <w:sz w:val="21"/>
                <w:szCs w:val="21"/>
                <w:lang w:val="en-US" w:eastAsia="zh-CN"/>
              </w:rPr>
              <w:t>1</w:t>
            </w:r>
          </w:p>
          <w:tbl>
            <w:tblPr>
              <w:tblStyle w:val="1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70"/>
              <w:gridCol w:w="2"/>
              <w:gridCol w:w="2"/>
              <w:gridCol w:w="1137"/>
              <w:gridCol w:w="1401"/>
              <w:gridCol w:w="1343"/>
              <w:gridCol w:w="1246"/>
              <w:gridCol w:w="1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71" w:type="pct"/>
                  <w:gridSpan w:val="6"/>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采样日期</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2023-9-27</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2023-9-28</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检测点位</w:t>
                  </w:r>
                </w:p>
              </w:tc>
              <w:tc>
                <w:tcPr>
                  <w:tcW w:w="760" w:type="pct"/>
                  <w:gridSpan w:val="3"/>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检测项目</w:t>
                  </w:r>
                </w:p>
              </w:tc>
              <w:tc>
                <w:tcPr>
                  <w:tcW w:w="628"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检测频次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检测结果</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检测结果</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厂界东1#</w:t>
                  </w: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0.76</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0.87</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µg/m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387</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327</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310</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厂界南2#</w:t>
                  </w: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0.79</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µg/m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358</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1.0×10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355</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628"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760" w:type="pct"/>
                  <w:gridSpan w:val="3"/>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628"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60" w:type="pct"/>
                  <w:gridSpan w:val="3"/>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28"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60" w:type="pct"/>
                  <w:gridSpan w:val="3"/>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28"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无量纲</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厂界西3#</w:t>
                  </w: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0.79</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总悬浮颗粒物</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µg/m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380</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r>
                    <w:rPr>
                      <w:rFonts w:hint="default"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308</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氯化氢</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硫酸雾</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厂界北4#</w:t>
                  </w: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0.76</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0.77</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总悬浮颗粒物</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µg/m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318</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r>
                    <w:rPr>
                      <w:rFonts w:hint="default"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383</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氯化氢</w:t>
                  </w:r>
                </w:p>
              </w:tc>
              <w:tc>
                <w:tcPr>
                  <w:tcW w:w="630"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9" w:type="pct"/>
                  <w:gridSpan w:val="2"/>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0"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硫酸雾</w:t>
                  </w:r>
                </w:p>
              </w:tc>
              <w:tc>
                <w:tcPr>
                  <w:tcW w:w="631" w:type="pct"/>
                  <w:gridSpan w:val="3"/>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631" w:type="pct"/>
                  <w:gridSpan w:val="3"/>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厂区内5#</w:t>
                  </w:r>
                </w:p>
              </w:tc>
              <w:tc>
                <w:tcPr>
                  <w:tcW w:w="758" w:type="pct"/>
                  <w:vMerge w:val="restart"/>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631" w:type="pct"/>
                  <w:gridSpan w:val="3"/>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0.89</w:t>
                  </w:r>
                </w:p>
              </w:tc>
              <w:tc>
                <w:tcPr>
                  <w:tcW w:w="695"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0.82</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7"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758" w:type="pct"/>
                  <w:vMerge w:val="continue"/>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631" w:type="pct"/>
                  <w:gridSpan w:val="3"/>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774"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第三次</w:t>
                  </w:r>
                </w:p>
              </w:tc>
              <w:tc>
                <w:tcPr>
                  <w:tcW w:w="74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0.80</w:t>
                  </w:r>
                </w:p>
              </w:tc>
              <w:tc>
                <w:tcPr>
                  <w:tcW w:w="689"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695"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9"/>
                  <w:tcBorders>
                    <w:tl2br w:val="nil"/>
                    <w:tr2bl w:val="nil"/>
                  </w:tcBorders>
                  <w:noWrap w:val="0"/>
                  <w:vAlign w:val="center"/>
                </w:tcPr>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标准：参考《大气污染物综合排放标准》（GB16297-1996）表2新污染源大气污染物无组织排放限值，其中非甲烷总烃、臭气浓度参考《工业涂装工序大气污染物排放标准》（DB33/2146-2018）表6企业边界大气污染物浓度限值，5#非甲烷总烃参考《挥发性有机物无组织排放标准》（GB37822-2019）表A.1厂区内VOCs无组织排放限值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特别排放限值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1h平均浓度值。</w:t>
                  </w:r>
                </w:p>
              </w:tc>
            </w:tr>
          </w:tbl>
          <w:p>
            <w:pPr>
              <w:widowControl w:val="0"/>
              <w:adjustRightInd/>
              <w:snapToGrid/>
              <w:spacing w:after="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表7-7 </w:t>
            </w:r>
            <w:r>
              <w:rPr>
                <w:rFonts w:hint="default" w:ascii="Times New Roman" w:hAnsi="Times New Roman" w:eastAsia="宋体" w:cs="Times New Roman"/>
                <w:b/>
                <w:bCs/>
                <w:color w:val="auto"/>
                <w:sz w:val="21"/>
                <w:szCs w:val="21"/>
                <w:lang w:val="en-US" w:eastAsia="zh-CN"/>
              </w:rPr>
              <w:t>无组织废气</w:t>
            </w:r>
            <w:r>
              <w:rPr>
                <w:rFonts w:hint="default" w:ascii="Times New Roman" w:hAnsi="Times New Roman" w:eastAsia="宋体" w:cs="Times New Roman"/>
                <w:b/>
                <w:bCs/>
                <w:color w:val="auto"/>
                <w:sz w:val="21"/>
                <w:szCs w:val="21"/>
              </w:rPr>
              <w:t>检测结果</w:t>
            </w:r>
            <w:r>
              <w:rPr>
                <w:rFonts w:hint="eastAsia" w:ascii="Times New Roman" w:hAnsi="Times New Roman" w:eastAsia="宋体" w:cs="Times New Roman"/>
                <w:b/>
                <w:bCs/>
                <w:color w:val="auto"/>
                <w:sz w:val="21"/>
                <w:szCs w:val="21"/>
                <w:lang w:val="en-US" w:eastAsia="zh-CN"/>
              </w:rPr>
              <w:t>2</w:t>
            </w:r>
          </w:p>
          <w:tbl>
            <w:tblPr>
              <w:tblStyle w:val="11"/>
              <w:tblW w:w="497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371"/>
              <w:gridCol w:w="1143"/>
              <w:gridCol w:w="1371"/>
              <w:gridCol w:w="1290"/>
              <w:gridCol w:w="1290"/>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80" w:type="pct"/>
                  <w:gridSpan w:val="4"/>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采样日期</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2023-9-27</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2023-9-28</w:t>
                  </w:r>
                </w:p>
              </w:tc>
              <w:tc>
                <w:tcPr>
                  <w:tcW w:w="68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762"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63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761"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检测频次</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w:t>
                  </w:r>
                  <w:r>
                    <w:rPr>
                      <w:rFonts w:hint="eastAsia" w:ascii="Times New Roman" w:hAnsi="Times New Roman" w:eastAsia="宋体" w:cs="Times New Roman"/>
                      <w:color w:val="auto"/>
                      <w:sz w:val="21"/>
                      <w:szCs w:val="21"/>
                      <w:lang w:val="en-US" w:eastAsia="zh-CN"/>
                    </w:rPr>
                    <w:t>结果</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w:t>
                  </w:r>
                  <w:r>
                    <w:rPr>
                      <w:rFonts w:hint="eastAsia" w:ascii="Times New Roman" w:hAnsi="Times New Roman" w:eastAsia="宋体" w:cs="Times New Roman"/>
                      <w:color w:val="auto"/>
                      <w:sz w:val="21"/>
                      <w:szCs w:val="21"/>
                      <w:lang w:val="en-US" w:eastAsia="zh-CN"/>
                    </w:rPr>
                    <w:t>结果</w:t>
                  </w:r>
                </w:p>
              </w:tc>
              <w:tc>
                <w:tcPr>
                  <w:tcW w:w="68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厂区内5#</w:t>
                  </w:r>
                </w:p>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（任意值）</w:t>
                  </w:r>
                </w:p>
              </w:tc>
              <w:tc>
                <w:tcPr>
                  <w:tcW w:w="76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35"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761"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0.87</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68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76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3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761"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0.86</w:t>
                  </w:r>
                </w:p>
              </w:tc>
              <w:tc>
                <w:tcPr>
                  <w:tcW w:w="68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76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3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761"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0.81</w:t>
                  </w:r>
                </w:p>
              </w:tc>
              <w:tc>
                <w:tcPr>
                  <w:tcW w:w="717"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0.88</w:t>
                  </w:r>
                </w:p>
              </w:tc>
              <w:tc>
                <w:tcPr>
                  <w:tcW w:w="68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7"/>
                  <w:tcBorders>
                    <w:tl2br w:val="nil"/>
                    <w:tr2bl w:val="nil"/>
                  </w:tcBorders>
                  <w:noWrap w:val="0"/>
                  <w:vAlign w:val="center"/>
                </w:tcPr>
                <w:p>
                  <w:pPr>
                    <w:pStyle w:val="20"/>
                    <w:tabs>
                      <w:tab w:val="left" w:pos="-2848"/>
                    </w:tabs>
                    <w:adjustRightInd/>
                    <w:snapToGrid/>
                    <w:spacing w:after="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非甲烷总烃检测依据：《环境空气</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总烃、甲烷和非甲烷总烃的测定</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直接进样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气相色谱法》（</w:t>
                  </w:r>
                  <w:r>
                    <w:rPr>
                      <w:rFonts w:hint="default" w:ascii="Times New Roman" w:hAnsi="Times New Roman" w:eastAsia="宋体" w:cs="Times New Roman"/>
                      <w:color w:val="auto"/>
                      <w:sz w:val="21"/>
                      <w:szCs w:val="21"/>
                      <w:lang w:val="en-US" w:eastAsia="zh-CN"/>
                    </w:rPr>
                    <w:t>HJ604-2017</w:t>
                  </w:r>
                  <w:r>
                    <w:rPr>
                      <w:rFonts w:hint="eastAsia" w:ascii="Times New Roman" w:hAnsi="Times New Roman" w:eastAsia="宋体" w:cs="Times New Roman"/>
                      <w:color w:val="auto"/>
                      <w:sz w:val="21"/>
                      <w:szCs w:val="21"/>
                      <w:lang w:val="en-US" w:eastAsia="zh-CN"/>
                    </w:rPr>
                    <w:t>）</w:t>
                  </w:r>
                </w:p>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参考标准：</w:t>
                  </w:r>
                  <w:r>
                    <w:rPr>
                      <w:rFonts w:hint="default" w:ascii="Times New Roman" w:hAnsi="Times New Roman" w:eastAsia="宋体" w:cs="Times New Roman"/>
                      <w:color w:val="auto"/>
                      <w:sz w:val="21"/>
                      <w:szCs w:val="21"/>
                      <w:lang w:val="en-US" w:eastAsia="zh-CN"/>
                    </w:rPr>
                    <w:t>参考《挥发性有机物无组织排放标准》（GB 37822-2019）表A.1厂区内VOCs无组织排放限值中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特别排放限值</w:t>
                  </w:r>
                  <w:r>
                    <w:rPr>
                      <w:rFonts w:hint="eastAsia" w:ascii="Times New Roman" w:hAnsi="Times New Roman" w:eastAsia="宋体" w:cs="Times New Roman"/>
                      <w:color w:val="auto"/>
                      <w:sz w:val="21"/>
                      <w:szCs w:val="21"/>
                      <w:lang w:val="en-US" w:eastAsia="zh-CN"/>
                    </w:rPr>
                    <w:t>”任意一次</w:t>
                  </w:r>
                  <w:r>
                    <w:rPr>
                      <w:rFonts w:hint="default" w:ascii="Times New Roman" w:hAnsi="Times New Roman" w:eastAsia="宋体" w:cs="Times New Roman"/>
                      <w:color w:val="auto"/>
                      <w:sz w:val="21"/>
                      <w:szCs w:val="21"/>
                      <w:lang w:val="en-US" w:eastAsia="zh-CN"/>
                    </w:rPr>
                    <w:t>浓度值</w:t>
                  </w:r>
                  <w:r>
                    <w:rPr>
                      <w:rFonts w:hint="eastAsia" w:ascii="Times New Roman" w:hAnsi="Times New Roman" w:eastAsia="宋体" w:cs="Times New Roman"/>
                      <w:color w:val="auto"/>
                      <w:sz w:val="21"/>
                      <w:szCs w:val="21"/>
                      <w:lang w:val="en-US" w:eastAsia="zh-CN"/>
                    </w:rPr>
                    <w:t>。</w:t>
                  </w:r>
                </w:p>
              </w:tc>
            </w:tr>
          </w:tbl>
          <w:p>
            <w:pPr>
              <w:widowControl w:val="0"/>
              <w:adjustRightInd/>
              <w:snapToGrid/>
              <w:spacing w:after="0"/>
              <w:jc w:val="center"/>
              <w:rPr>
                <w:rFonts w:hint="default" w:ascii="Times New Roman" w:hAnsi="Times New Roman" w:eastAsia="宋体" w:cs="Times New Roman"/>
                <w:b/>
                <w:bCs/>
                <w:color w:val="auto"/>
                <w:sz w:val="21"/>
                <w:szCs w:val="21"/>
              </w:rPr>
            </w:pPr>
          </w:p>
          <w:p>
            <w:pPr>
              <w:widowControl w:val="0"/>
              <w:adjustRightInd/>
              <w:snapToGrid/>
              <w:spacing w:after="0"/>
              <w:jc w:val="center"/>
              <w:rPr>
                <w:rFonts w:hint="default" w:ascii="Times New Roman" w:hAnsi="Times New Roman" w:eastAsia="宋体" w:cs="Times New Roman"/>
                <w:b/>
                <w:bCs/>
                <w:color w:val="auto"/>
                <w:sz w:val="21"/>
                <w:szCs w:val="21"/>
              </w:rPr>
            </w:pPr>
          </w:p>
          <w:p>
            <w:pPr>
              <w:widowControl w:val="0"/>
              <w:adjustRightInd/>
              <w:snapToGrid/>
              <w:spacing w:after="0"/>
              <w:jc w:val="center"/>
              <w:rPr>
                <w:rFonts w:hint="default" w:ascii="Times New Roman" w:hAnsi="Times New Roman" w:eastAsia="宋体" w:cs="Times New Roman"/>
                <w:b/>
                <w:bCs/>
                <w:color w:val="auto"/>
                <w:sz w:val="21"/>
                <w:szCs w:val="21"/>
              </w:rPr>
            </w:pPr>
          </w:p>
          <w:p>
            <w:pPr>
              <w:widowControl w:val="0"/>
              <w:adjustRightInd/>
              <w:snapToGrid/>
              <w:spacing w:after="0"/>
              <w:jc w:val="center"/>
              <w:rPr>
                <w:rFonts w:hint="default" w:ascii="Times New Roman" w:hAnsi="Times New Roman" w:eastAsia="宋体" w:cs="Times New Roman"/>
                <w:b/>
                <w:bCs/>
                <w:color w:val="auto"/>
                <w:sz w:val="21"/>
                <w:szCs w:val="21"/>
              </w:rPr>
            </w:pPr>
          </w:p>
          <w:p>
            <w:pPr>
              <w:widowControl w:val="0"/>
              <w:adjustRightInd/>
              <w:snapToGrid/>
              <w:spacing w:after="0"/>
              <w:jc w:val="center"/>
              <w:rPr>
                <w:rFonts w:hint="default" w:ascii="Times New Roman" w:hAnsi="Times New Roman" w:eastAsia="宋体" w:cs="Times New Roman"/>
                <w:b/>
                <w:bCs/>
                <w:color w:val="auto"/>
                <w:sz w:val="21"/>
                <w:szCs w:val="21"/>
              </w:rPr>
            </w:pPr>
          </w:p>
          <w:p>
            <w:pPr>
              <w:widowControl w:val="0"/>
              <w:adjustRightInd/>
              <w:snapToGrid/>
              <w:spacing w:after="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7-8 </w:t>
            </w:r>
            <w:r>
              <w:rPr>
                <w:rFonts w:hint="default" w:ascii="Times New Roman" w:hAnsi="Times New Roman" w:eastAsia="宋体" w:cs="Times New Roman"/>
                <w:b/>
                <w:bCs/>
                <w:color w:val="auto"/>
                <w:sz w:val="21"/>
                <w:szCs w:val="21"/>
                <w:lang w:val="en-US" w:eastAsia="zh-CN"/>
              </w:rPr>
              <w:t>无组织废气</w:t>
            </w:r>
            <w:r>
              <w:rPr>
                <w:rFonts w:hint="default" w:ascii="Times New Roman" w:hAnsi="Times New Roman" w:eastAsia="宋体" w:cs="Times New Roman"/>
                <w:b/>
                <w:bCs/>
                <w:color w:val="auto"/>
                <w:sz w:val="21"/>
                <w:szCs w:val="21"/>
              </w:rPr>
              <w:t>检测结果</w:t>
            </w:r>
            <w:r>
              <w:rPr>
                <w:rFonts w:hint="eastAsia" w:ascii="Times New Roman" w:hAnsi="Times New Roman" w:eastAsia="宋体" w:cs="Times New Roman"/>
                <w:b/>
                <w:bCs/>
                <w:color w:val="auto"/>
                <w:sz w:val="21"/>
                <w:szCs w:val="21"/>
                <w:lang w:val="en-US" w:eastAsia="zh-CN"/>
              </w:rPr>
              <w:t>最大值统计表</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796"/>
              <w:gridCol w:w="1288"/>
              <w:gridCol w:w="2961"/>
              <w:gridCol w:w="14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检测点位</w:t>
                  </w: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检测项目</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检测结果</w:t>
                  </w:r>
                  <w:r>
                    <w:rPr>
                      <w:rFonts w:hint="eastAsia" w:ascii="Times New Roman" w:hAnsi="Times New Roman" w:eastAsia="宋体" w:cs="Times New Roman"/>
                      <w:color w:val="auto"/>
                      <w:sz w:val="21"/>
                      <w:szCs w:val="21"/>
                      <w:lang w:val="en-US" w:eastAsia="zh-CN"/>
                    </w:rPr>
                    <w:t>最大值</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vMerge w:val="restar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w:t>
                  </w:r>
                  <w:r>
                    <w:rPr>
                      <w:rFonts w:hint="eastAsia" w:ascii="Times New Roman" w:hAnsi="Times New Roman" w:eastAsia="宋体" w:cs="Times New Roman"/>
                      <w:color w:val="auto"/>
                      <w:sz w:val="21"/>
                      <w:szCs w:val="21"/>
                      <w:lang w:val="en-US" w:eastAsia="zh-CN"/>
                    </w:rPr>
                    <w:t>外无组织</w:t>
                  </w: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0.88</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µg/m</w:t>
                  </w:r>
                  <w:r>
                    <w:rPr>
                      <w:rFonts w:hint="default" w:ascii="Times New Roman" w:hAnsi="Times New Roman" w:eastAsia="宋体" w:cs="Times New Roman"/>
                      <w:color w:val="auto"/>
                      <w:sz w:val="21"/>
                      <w:szCs w:val="21"/>
                      <w:vertAlign w:val="superscript"/>
                      <w:lang w:val="en-US" w:eastAsia="zh-CN"/>
                    </w:rPr>
                    <w:t>3</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392</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硫酸雾</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val="en-US" w:eastAsia="zh-CN"/>
                    </w:rPr>
                    <w:t>3</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35" w:type="pct"/>
                  <w:vMerge w:val="continue"/>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eastAsia="zh-CN"/>
                    </w:rPr>
                  </w:pPr>
                </w:p>
              </w:tc>
              <w:tc>
                <w:tcPr>
                  <w:tcW w:w="993"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712"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1637"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20" w:type="pct"/>
                  <w:tcBorders>
                    <w:tl2br w:val="nil"/>
                    <w:tr2bl w:val="nil"/>
                  </w:tcBorders>
                  <w:noWrap w:val="0"/>
                  <w:vAlign w:val="center"/>
                </w:tcPr>
                <w:p>
                  <w:pPr>
                    <w:pStyle w:val="20"/>
                    <w:tabs>
                      <w:tab w:val="left" w:pos="-2848"/>
                    </w:tabs>
                    <w:adjustRightInd/>
                    <w:snapToGrid/>
                    <w:spacing w:after="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bl>
          <w:p>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jc w:val="both"/>
              <w:textAlignment w:val="auto"/>
              <w:rPr>
                <w:rFonts w:ascii="Times New Roman" w:hAnsi="Times New Roman" w:eastAsia="宋体"/>
                <w:bCs/>
                <w:color w:val="auto"/>
                <w:kern w:val="2"/>
                <w:sz w:val="24"/>
              </w:rPr>
            </w:pPr>
            <w:r>
              <w:rPr>
                <w:rFonts w:ascii="Times New Roman" w:hAnsi="Times New Roman" w:eastAsia="宋体"/>
                <w:bCs/>
                <w:color w:val="auto"/>
                <w:kern w:val="2"/>
                <w:sz w:val="24"/>
              </w:rPr>
              <w:t>根据</w:t>
            </w:r>
            <w:r>
              <w:rPr>
                <w:rFonts w:hint="eastAsia" w:ascii="Times New Roman" w:hAnsi="Times New Roman" w:eastAsia="宋体"/>
                <w:bCs/>
                <w:color w:val="auto"/>
                <w:kern w:val="2"/>
                <w:sz w:val="24"/>
                <w:lang w:eastAsia="zh-CN"/>
              </w:rPr>
              <w:t>浙江甬信检测技术有限公司</w:t>
            </w:r>
            <w:r>
              <w:rPr>
                <w:rFonts w:ascii="Times New Roman" w:hAnsi="Times New Roman" w:eastAsia="宋体"/>
                <w:bCs/>
                <w:color w:val="auto"/>
                <w:kern w:val="2"/>
                <w:sz w:val="24"/>
              </w:rPr>
              <w:t>出具的检测</w:t>
            </w:r>
            <w:r>
              <w:rPr>
                <w:rFonts w:hint="eastAsia" w:ascii="Times New Roman" w:hAnsi="Times New Roman" w:eastAsia="宋体" w:cs="Times New Roman"/>
                <w:bCs/>
                <w:color w:val="auto"/>
                <w:kern w:val="2"/>
                <w:sz w:val="24"/>
                <w:lang w:eastAsia="zh-CN"/>
              </w:rPr>
              <w:t>报告（报告编号：YXE202</w:t>
            </w:r>
            <w:r>
              <w:rPr>
                <w:rFonts w:hint="eastAsia" w:ascii="Times New Roman" w:hAnsi="Times New Roman" w:eastAsia="宋体" w:cs="Times New Roman"/>
                <w:bCs/>
                <w:color w:val="auto"/>
                <w:kern w:val="2"/>
                <w:sz w:val="24"/>
                <w:lang w:val="en-US" w:eastAsia="zh-CN"/>
              </w:rPr>
              <w:t>32751</w:t>
            </w:r>
            <w:r>
              <w:rPr>
                <w:rFonts w:hint="eastAsia" w:ascii="Times New Roman" w:hAnsi="Times New Roman" w:eastAsia="宋体" w:cs="Times New Roman"/>
                <w:bCs/>
                <w:color w:val="auto"/>
                <w:kern w:val="2"/>
                <w:sz w:val="24"/>
                <w:lang w:eastAsia="zh-CN"/>
              </w:rPr>
              <w:t>）：验收检测期间，本项目厂界无组织</w:t>
            </w:r>
            <w:r>
              <w:rPr>
                <w:rFonts w:ascii="Times New Roman" w:hAnsi="Times New Roman" w:eastAsia="宋体"/>
                <w:bCs/>
                <w:color w:val="auto"/>
                <w:kern w:val="2"/>
                <w:sz w:val="24"/>
              </w:rPr>
              <w:t>废气中</w:t>
            </w:r>
            <w:r>
              <w:rPr>
                <w:rFonts w:hint="eastAsia" w:ascii="Times New Roman" w:hAnsi="Times New Roman" w:eastAsia="宋体"/>
                <w:bCs/>
                <w:color w:val="auto"/>
                <w:kern w:val="2"/>
                <w:sz w:val="24"/>
              </w:rPr>
              <w:t>硫酸雾</w:t>
            </w:r>
            <w:r>
              <w:rPr>
                <w:rFonts w:hint="eastAsia" w:ascii="Times New Roman" w:hAnsi="Times New Roman" w:eastAsia="宋体"/>
                <w:bCs/>
                <w:color w:val="auto"/>
                <w:kern w:val="2"/>
                <w:sz w:val="24"/>
                <w:lang w:eastAsia="zh-CN"/>
              </w:rPr>
              <w:t>、</w:t>
            </w:r>
            <w:r>
              <w:rPr>
                <w:rFonts w:hint="eastAsia" w:ascii="Times New Roman" w:hAnsi="Times New Roman" w:eastAsia="宋体"/>
                <w:bCs/>
                <w:color w:val="auto"/>
                <w:kern w:val="2"/>
                <w:sz w:val="24"/>
              </w:rPr>
              <w:t>氯化氢</w:t>
            </w:r>
            <w:r>
              <w:rPr>
                <w:rFonts w:ascii="Times New Roman" w:hAnsi="Times New Roman" w:eastAsia="宋体"/>
                <w:bCs/>
                <w:color w:val="auto"/>
                <w:kern w:val="2"/>
                <w:sz w:val="24"/>
              </w:rPr>
              <w:t>的浓度</w:t>
            </w:r>
            <w:r>
              <w:rPr>
                <w:rFonts w:hint="eastAsia" w:ascii="Times New Roman" w:hAnsi="Times New Roman" w:eastAsia="宋体"/>
                <w:bCs/>
                <w:color w:val="auto"/>
                <w:kern w:val="2"/>
                <w:sz w:val="24"/>
                <w:lang w:val="en-US" w:eastAsia="zh-CN"/>
              </w:rPr>
              <w:t>最大值</w:t>
            </w:r>
            <w:r>
              <w:rPr>
                <w:rFonts w:hint="eastAsia" w:ascii="Times New Roman" w:hAnsi="Times New Roman" w:eastAsia="宋体"/>
                <w:bCs/>
                <w:color w:val="auto"/>
                <w:kern w:val="2"/>
                <w:sz w:val="24"/>
              </w:rPr>
              <w:t>均</w:t>
            </w:r>
            <w:r>
              <w:rPr>
                <w:rFonts w:ascii="Times New Roman" w:hAnsi="Times New Roman" w:eastAsia="宋体"/>
                <w:bCs/>
                <w:color w:val="auto"/>
                <w:kern w:val="2"/>
                <w:sz w:val="24"/>
              </w:rPr>
              <w:t>满足《大气污染物综合排放标准》（GB16297-1996）表2中的无组织排放监控浓度限值</w:t>
            </w:r>
            <w:r>
              <w:rPr>
                <w:rFonts w:hint="eastAsia" w:ascii="Times New Roman" w:hAnsi="Times New Roman" w:eastAsia="宋体"/>
                <w:bCs/>
                <w:color w:val="auto"/>
                <w:kern w:val="2"/>
                <w:sz w:val="24"/>
                <w:lang w:eastAsia="zh-CN"/>
              </w:rPr>
              <w:t>，</w:t>
            </w:r>
            <w:r>
              <w:rPr>
                <w:rFonts w:hint="eastAsia" w:ascii="Times New Roman" w:hAnsi="Times New Roman" w:eastAsia="宋体"/>
                <w:bCs/>
                <w:color w:val="auto"/>
                <w:kern w:val="2"/>
                <w:sz w:val="24"/>
                <w:lang w:val="en-US" w:eastAsia="zh-CN"/>
              </w:rPr>
              <w:t>总悬浮</w:t>
            </w:r>
            <w:r>
              <w:rPr>
                <w:rFonts w:hint="eastAsia" w:ascii="Times New Roman" w:hAnsi="Times New Roman" w:eastAsia="宋体"/>
                <w:bCs/>
                <w:color w:val="auto"/>
                <w:kern w:val="2"/>
                <w:sz w:val="24"/>
                <w:lang w:eastAsia="zh-CN"/>
              </w:rPr>
              <w:t>颗粒物、臭气浓度、非甲烷总</w:t>
            </w:r>
            <w:r>
              <w:rPr>
                <w:rFonts w:hint="eastAsia" w:ascii="Times New Roman" w:hAnsi="Times New Roman" w:eastAsia="宋体" w:cs="Times New Roman"/>
                <w:bCs/>
                <w:color w:val="auto"/>
                <w:kern w:val="2"/>
                <w:sz w:val="24"/>
                <w:lang w:eastAsia="zh-CN"/>
              </w:rPr>
              <w:t>烃的</w:t>
            </w:r>
            <w:r>
              <w:rPr>
                <w:rFonts w:hint="eastAsia" w:ascii="Times New Roman" w:hAnsi="Times New Roman" w:eastAsia="宋体" w:cs="Times New Roman"/>
                <w:bCs/>
                <w:color w:val="auto"/>
                <w:kern w:val="2"/>
                <w:sz w:val="24"/>
                <w:lang w:val="en-US" w:eastAsia="zh-CN"/>
              </w:rPr>
              <w:t>浓度</w:t>
            </w:r>
            <w:r>
              <w:rPr>
                <w:rFonts w:hint="eastAsia" w:ascii="Times New Roman" w:hAnsi="Times New Roman" w:eastAsia="宋体"/>
                <w:bCs/>
                <w:color w:val="auto"/>
                <w:kern w:val="2"/>
                <w:sz w:val="24"/>
                <w:lang w:val="en-US" w:eastAsia="zh-CN"/>
              </w:rPr>
              <w:t>最大值</w:t>
            </w:r>
            <w:r>
              <w:rPr>
                <w:rFonts w:ascii="Times New Roman" w:hAnsi="Times New Roman" w:eastAsia="宋体" w:cs="Times New Roman"/>
                <w:bCs/>
                <w:color w:val="auto"/>
                <w:kern w:val="2"/>
                <w:sz w:val="24"/>
              </w:rPr>
              <w:t>满足</w:t>
            </w:r>
            <w:r>
              <w:rPr>
                <w:rFonts w:hint="eastAsia" w:ascii="Times New Roman" w:hAnsi="Times New Roman" w:eastAsia="宋体" w:cs="Times New Roman"/>
                <w:bCs/>
                <w:color w:val="auto"/>
                <w:kern w:val="2"/>
                <w:sz w:val="24"/>
                <w:lang w:eastAsia="zh-CN"/>
              </w:rPr>
              <w:t>《</w:t>
            </w:r>
            <w:r>
              <w:rPr>
                <w:rFonts w:hint="default" w:ascii="Times New Roman" w:hAnsi="Times New Roman" w:eastAsia="宋体" w:cs="Times New Roman"/>
                <w:bCs/>
                <w:color w:val="auto"/>
                <w:kern w:val="2"/>
                <w:sz w:val="24"/>
                <w:lang w:val="en-US" w:eastAsia="zh-CN"/>
              </w:rPr>
              <w:t>工业涂装工序大气污染物排放标准》（DB33/2146-2018）表6企业边界大气污染物浓度限值</w:t>
            </w:r>
            <w:r>
              <w:rPr>
                <w:rFonts w:hint="eastAsia" w:ascii="Times New Roman" w:hAnsi="Times New Roman" w:eastAsia="宋体" w:cs="Times New Roman"/>
                <w:bCs/>
                <w:color w:val="auto"/>
                <w:kern w:val="2"/>
                <w:sz w:val="24"/>
                <w:lang w:eastAsia="zh-CN"/>
              </w:rPr>
              <w:t>；</w:t>
            </w:r>
            <w:r>
              <w:rPr>
                <w:rFonts w:hint="eastAsia" w:ascii="Times New Roman" w:hAnsi="Times New Roman" w:eastAsia="宋体" w:cs="Times New Roman"/>
                <w:bCs/>
                <w:color w:val="auto"/>
                <w:kern w:val="2"/>
                <w:sz w:val="24"/>
                <w:lang w:val="en-US" w:eastAsia="zh-CN"/>
              </w:rPr>
              <w:t>厂区内</w:t>
            </w:r>
            <w:r>
              <w:rPr>
                <w:rFonts w:ascii="Times New Roman" w:hAnsi="Times New Roman" w:eastAsia="宋体" w:cs="Times New Roman"/>
                <w:bCs/>
                <w:color w:val="auto"/>
                <w:kern w:val="2"/>
                <w:sz w:val="24"/>
              </w:rPr>
              <w:t>厂房外非甲烷总烃无组织排放浓度满</w:t>
            </w:r>
            <w:r>
              <w:rPr>
                <w:rFonts w:ascii="Times New Roman" w:hAnsi="Times New Roman" w:eastAsia="宋体"/>
                <w:bCs/>
                <w:color w:val="auto"/>
                <w:kern w:val="2"/>
                <w:sz w:val="24"/>
              </w:rPr>
              <w:t>足《挥发性有机物无组织排放控制标准》（GB37822-2019）附录A表A.1规定的特别排放限值。</w:t>
            </w:r>
          </w:p>
          <w:p>
            <w:pPr>
              <w:widowControl w:val="0"/>
              <w:adjustRightInd/>
              <w:snapToGrid/>
              <w:spacing w:after="0" w:line="336"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7.2废水监测结果</w:t>
            </w:r>
          </w:p>
          <w:p>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表7-</w:t>
            </w:r>
            <w:r>
              <w:rPr>
                <w:rFonts w:hint="eastAsia" w:ascii="Times New Roman" w:hAnsi="Times New Roman" w:eastAsia="宋体"/>
                <w:b/>
                <w:color w:val="auto"/>
                <w:kern w:val="2"/>
                <w:sz w:val="21"/>
                <w:szCs w:val="21"/>
                <w:lang w:val="en-US" w:eastAsia="zh-CN"/>
              </w:rPr>
              <w:t xml:space="preserve">9 </w:t>
            </w:r>
            <w:r>
              <w:rPr>
                <w:rFonts w:ascii="Times New Roman" w:hAnsi="Times New Roman" w:eastAsia="宋体"/>
                <w:b/>
                <w:color w:val="auto"/>
                <w:kern w:val="2"/>
                <w:sz w:val="21"/>
                <w:szCs w:val="21"/>
              </w:rPr>
              <w:t>废水监测结果一览表单位：mg/L（pH除外）</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889"/>
              <w:gridCol w:w="1130"/>
              <w:gridCol w:w="2075"/>
              <w:gridCol w:w="2075"/>
              <w:gridCol w:w="12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87" w:type="pct"/>
                  <w:gridSpan w:val="3"/>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检测点位</w:t>
                  </w:r>
                </w:p>
              </w:tc>
              <w:tc>
                <w:tcPr>
                  <w:tcW w:w="2296" w:type="pct"/>
                  <w:gridSpan w:val="2"/>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生产废水排口10#</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87" w:type="pct"/>
                  <w:gridSpan w:val="3"/>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采样日期</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2023-9-27</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2023-9-28</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987" w:type="pct"/>
                  <w:gridSpan w:val="3"/>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样品性状</w:t>
                  </w:r>
                </w:p>
              </w:tc>
              <w:tc>
                <w:tcPr>
                  <w:tcW w:w="1148"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浅黄、微嗅、透明</w:t>
                  </w:r>
                </w:p>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无浮油</w:t>
                  </w:r>
                </w:p>
              </w:tc>
              <w:tc>
                <w:tcPr>
                  <w:tcW w:w="1148"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浅黄、微嗅、透明</w:t>
                  </w:r>
                </w:p>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无浮油</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检测项目</w:t>
                  </w:r>
                </w:p>
              </w:tc>
              <w:tc>
                <w:tcPr>
                  <w:tcW w:w="492"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检测频次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检测结果</w:t>
                  </w:r>
                </w:p>
              </w:tc>
              <w:tc>
                <w:tcPr>
                  <w:tcW w:w="1148"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检测结果</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无量纲</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0.197</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0.235</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0.209</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0.252</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0.229</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0.292</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0.182</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2.81</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2.78</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3.09</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2.81</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2.78</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石油类</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1.62</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1.63</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1.68</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w:t>
                  </w:r>
                </w:p>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活性剂</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锰</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0.067</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0.067</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0.070</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0.065</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0.064</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锌</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0.179</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0.194</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0.186</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0.200</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0.216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0.183</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铁</w:t>
                  </w:r>
                </w:p>
              </w:tc>
              <w:tc>
                <w:tcPr>
                  <w:tcW w:w="492"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第一次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0.65</w:t>
                  </w:r>
                </w:p>
              </w:tc>
              <w:tc>
                <w:tcPr>
                  <w:tcW w:w="715" w:type="pct"/>
                  <w:vMerge w:val="restar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第二次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0.63</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第三次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870"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492"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62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第四次</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1148"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715" w:type="pct"/>
                  <w:vMerge w:val="continue"/>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000" w:type="pct"/>
                  <w:gridSpan w:val="6"/>
                  <w:tcBorders>
                    <w:tl2br w:val="nil"/>
                    <w:tr2bl w:val="nil"/>
                  </w:tcBorders>
                  <w:noWrap w:val="0"/>
                  <w:vAlign w:val="center"/>
                </w:tcPr>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参考标准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参考《污水综合排放标准》（GB 8978-1996）表4第二类污染物最高允许排放浓度中三级标准，其中氨氮</w:t>
                  </w:r>
                  <w:r>
                    <w:rPr>
                      <w:rFonts w:hint="eastAsia" w:ascii="Times New Roman" w:hAnsi="Times New Roman" w:eastAsia="宋体" w:cs="Times New Roman"/>
                      <w:color w:val="auto"/>
                      <w:sz w:val="21"/>
                      <w:szCs w:val="21"/>
                      <w:lang w:val="en-US" w:eastAsia="zh-CN"/>
                    </w:rPr>
                    <w:t>、总磷</w:t>
                  </w:r>
                  <w:r>
                    <w:rPr>
                      <w:rFonts w:hint="default" w:ascii="Times New Roman" w:hAnsi="Times New Roman" w:eastAsia="宋体" w:cs="Times New Roman"/>
                      <w:color w:val="auto"/>
                      <w:sz w:val="21"/>
                      <w:szCs w:val="21"/>
                      <w:lang w:val="en-US" w:eastAsia="zh-CN"/>
                    </w:rPr>
                    <w:t>参考《工业企业废水氮、磷污染物间接排放限值》（DB 33/887-2013）表1工业企业水污染物间接排放限值中其它企业标准</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总铁参考《酸洗废水排放总铁浓度限值》（DB 33/844-2011）表1二级排放浓度限值，</w:t>
                  </w:r>
                  <w:r>
                    <w:rPr>
                      <w:rFonts w:hint="eastAsia" w:ascii="Times New Roman" w:hAnsi="Times New Roman" w:eastAsia="宋体" w:cs="Times New Roman"/>
                      <w:color w:val="auto"/>
                      <w:sz w:val="21"/>
                      <w:szCs w:val="21"/>
                      <w:lang w:val="en-US" w:eastAsia="zh-CN"/>
                    </w:rPr>
                    <w:t>总氮</w:t>
                  </w:r>
                  <w:r>
                    <w:rPr>
                      <w:rFonts w:hint="default" w:ascii="Times New Roman" w:hAnsi="Times New Roman" w:eastAsia="宋体" w:cs="Times New Roman"/>
                      <w:color w:val="auto"/>
                      <w:sz w:val="21"/>
                      <w:szCs w:val="21"/>
                      <w:lang w:val="en-US" w:eastAsia="zh-CN"/>
                    </w:rPr>
                    <w:t>参考《污水排入城镇下水道水质标准》（GB/T 31962-2015）表1污水排入城镇下水道水质控制项目限值B级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由委托方提供。</w:t>
                  </w:r>
                </w:p>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2023-9-27水温：第一次26.6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，第二次27.1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，第三次27.5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，第四次27.3</w:t>
                  </w:r>
                  <w:r>
                    <w:rPr>
                      <w:rFonts w:hint="default" w:ascii="Times New Roman" w:hAnsi="Times New Roman" w:eastAsia="宋体" w:cs="Times New Roman"/>
                      <w:color w:val="auto"/>
                      <w:sz w:val="21"/>
                      <w:szCs w:val="21"/>
                      <w:lang w:val="en-US" w:eastAsia="zh-CN"/>
                    </w:rPr>
                    <w:t>℃</w:t>
                  </w:r>
                </w:p>
                <w:p>
                  <w:pPr>
                    <w:pStyle w:val="20"/>
                    <w:tabs>
                      <w:tab w:val="left" w:pos="-2848"/>
                    </w:tabs>
                    <w:adjustRightInd/>
                    <w:snapToGrid/>
                    <w:spacing w:after="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2023-9-28水温：第一次26.3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，第二次26.9</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，第三次27.4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，第四次27.7</w:t>
                  </w:r>
                  <w:r>
                    <w:rPr>
                      <w:rFonts w:hint="default" w:ascii="Times New Roman" w:hAnsi="Times New Roman" w:eastAsia="宋体" w:cs="Times New Roman"/>
                      <w:color w:val="auto"/>
                      <w:sz w:val="21"/>
                      <w:szCs w:val="21"/>
                      <w:lang w:val="en-US" w:eastAsia="zh-CN"/>
                    </w:rPr>
                    <w:t>℃</w:t>
                  </w:r>
                </w:p>
              </w:tc>
            </w:tr>
          </w:tbl>
          <w:p>
            <w:pPr>
              <w:widowControl w:val="0"/>
              <w:adjustRightInd/>
              <w:snapToGrid/>
              <w:spacing w:after="0" w:line="324" w:lineRule="auto"/>
              <w:jc w:val="center"/>
              <w:rPr>
                <w:rFonts w:hint="default" w:ascii="Times New Roman" w:hAnsi="Times New Roman" w:eastAsia="宋体"/>
                <w:bCs/>
                <w:color w:val="auto"/>
                <w:kern w:val="2"/>
                <w:sz w:val="24"/>
                <w:szCs w:val="24"/>
                <w:lang w:val="en-US" w:eastAsia="zh-CN"/>
              </w:rPr>
            </w:pPr>
            <w:r>
              <w:rPr>
                <w:rFonts w:ascii="Times New Roman" w:hAnsi="Times New Roman" w:eastAsia="宋体"/>
                <w:b/>
                <w:color w:val="auto"/>
                <w:kern w:val="2"/>
                <w:sz w:val="21"/>
                <w:szCs w:val="21"/>
              </w:rPr>
              <w:t>表7-</w:t>
            </w:r>
            <w:r>
              <w:rPr>
                <w:rFonts w:hint="eastAsia" w:ascii="Times New Roman" w:hAnsi="Times New Roman" w:eastAsia="宋体"/>
                <w:b/>
                <w:color w:val="auto"/>
                <w:kern w:val="2"/>
                <w:sz w:val="21"/>
                <w:szCs w:val="21"/>
                <w:lang w:val="en-US" w:eastAsia="zh-CN"/>
              </w:rPr>
              <w:t xml:space="preserve">9 </w:t>
            </w:r>
            <w:r>
              <w:rPr>
                <w:rFonts w:ascii="Times New Roman" w:hAnsi="Times New Roman" w:eastAsia="宋体"/>
                <w:b/>
                <w:color w:val="auto"/>
                <w:kern w:val="2"/>
                <w:sz w:val="21"/>
                <w:szCs w:val="21"/>
              </w:rPr>
              <w:t>废水监测结果</w:t>
            </w:r>
            <w:r>
              <w:rPr>
                <w:rFonts w:hint="eastAsia" w:ascii="Times New Roman" w:hAnsi="Times New Roman" w:eastAsia="宋体"/>
                <w:b/>
                <w:color w:val="auto"/>
                <w:kern w:val="2"/>
                <w:sz w:val="21"/>
                <w:szCs w:val="21"/>
                <w:lang w:val="en-US" w:eastAsia="zh-CN"/>
              </w:rPr>
              <w:t>最大日均值统计表</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1454"/>
              <w:gridCol w:w="3662"/>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检测项目</w:t>
                  </w:r>
                </w:p>
              </w:tc>
              <w:tc>
                <w:tcPr>
                  <w:tcW w:w="80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2025"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检测结果</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80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0.2635</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80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2.9125</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819"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石油类</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1.6775</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阴离子表面活性剂</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未检出</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锰</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0.06675</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锌</w:t>
                  </w:r>
                </w:p>
              </w:tc>
              <w:tc>
                <w:tcPr>
                  <w:tcW w:w="804" w:type="pct"/>
                  <w:tcBorders>
                    <w:tl2br w:val="nil"/>
                    <w:tr2bl w:val="nil"/>
                  </w:tcBorders>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0.19525</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50"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铁</w:t>
                  </w:r>
                </w:p>
              </w:tc>
              <w:tc>
                <w:tcPr>
                  <w:tcW w:w="804"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025"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819" w:type="pct"/>
                  <w:tcBorders>
                    <w:tl2br w:val="nil"/>
                    <w:tr2bl w:val="nil"/>
                  </w:tcBorders>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bl>
          <w:p>
            <w:pPr>
              <w:widowControl w:val="0"/>
              <w:adjustRightInd/>
              <w:snapToGrid/>
              <w:spacing w:after="0" w:line="324" w:lineRule="auto"/>
              <w:ind w:firstLine="480" w:firstLineChars="200"/>
              <w:jc w:val="both"/>
              <w:rPr>
                <w:rFonts w:hint="eastAsia" w:ascii="Times New Roman" w:hAnsi="Times New Roman" w:eastAsia="宋体" w:cs="Times New Roman"/>
                <w:bCs/>
                <w:color w:val="auto"/>
                <w:kern w:val="2"/>
                <w:sz w:val="24"/>
                <w:szCs w:val="24"/>
                <w:lang w:eastAsia="zh-CN"/>
              </w:rPr>
            </w:pPr>
            <w:r>
              <w:rPr>
                <w:rFonts w:ascii="Times New Roman" w:hAnsi="Times New Roman" w:eastAsia="宋体"/>
                <w:bCs/>
                <w:color w:val="auto"/>
                <w:kern w:val="2"/>
                <w:sz w:val="24"/>
                <w:szCs w:val="24"/>
              </w:rPr>
              <w:t>验收检测期间，本项目</w:t>
            </w:r>
            <w:r>
              <w:rPr>
                <w:rFonts w:hint="eastAsia" w:ascii="Times New Roman" w:hAnsi="Times New Roman" w:eastAsia="宋体"/>
                <w:bCs/>
                <w:color w:val="auto"/>
                <w:kern w:val="2"/>
                <w:sz w:val="24"/>
                <w:szCs w:val="24"/>
              </w:rPr>
              <w:t>生产废水排放口中pH值在7.</w:t>
            </w:r>
            <w:r>
              <w:rPr>
                <w:rFonts w:hint="eastAsia" w:ascii="Times New Roman" w:hAnsi="Times New Roman" w:eastAsia="宋体"/>
                <w:bCs/>
                <w:color w:val="auto"/>
                <w:kern w:val="2"/>
                <w:sz w:val="24"/>
                <w:szCs w:val="24"/>
                <w:lang w:val="en-US" w:eastAsia="zh-CN"/>
              </w:rPr>
              <w:t>4</w:t>
            </w:r>
            <w:r>
              <w:rPr>
                <w:rFonts w:hint="eastAsia" w:ascii="Times New Roman" w:hAnsi="Times New Roman" w:eastAsia="宋体"/>
                <w:bCs/>
                <w:color w:val="auto"/>
                <w:kern w:val="2"/>
                <w:sz w:val="24"/>
                <w:szCs w:val="24"/>
              </w:rPr>
              <w:t>~7.</w:t>
            </w:r>
            <w:r>
              <w:rPr>
                <w:rFonts w:hint="eastAsia" w:ascii="Times New Roman" w:hAnsi="Times New Roman" w:eastAsia="宋体"/>
                <w:bCs/>
                <w:color w:val="auto"/>
                <w:kern w:val="2"/>
                <w:sz w:val="24"/>
                <w:szCs w:val="24"/>
                <w:lang w:val="en-US" w:eastAsia="zh-CN"/>
              </w:rPr>
              <w:t>6</w:t>
            </w:r>
            <w:r>
              <w:rPr>
                <w:rFonts w:hint="eastAsia" w:ascii="Times New Roman" w:hAnsi="Times New Roman" w:eastAsia="宋体"/>
                <w:bCs/>
                <w:color w:val="auto"/>
                <w:kern w:val="2"/>
                <w:sz w:val="24"/>
                <w:szCs w:val="24"/>
              </w:rPr>
              <w:t>之间，废水中主要污染物</w:t>
            </w:r>
            <w:r>
              <w:rPr>
                <w:rFonts w:ascii="Times New Roman" w:hAnsi="Times New Roman" w:eastAsia="宋体"/>
                <w:bCs/>
                <w:color w:val="auto"/>
                <w:kern w:val="2"/>
                <w:sz w:val="24"/>
                <w:szCs w:val="24"/>
              </w:rPr>
              <w:t>悬浮物最大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16</w:t>
            </w:r>
            <w:r>
              <w:rPr>
                <w:rFonts w:ascii="Times New Roman" w:hAnsi="Times New Roman" w:eastAsia="宋体"/>
                <w:bCs/>
                <w:color w:val="auto"/>
                <w:kern w:val="2"/>
                <w:sz w:val="24"/>
                <w:szCs w:val="24"/>
              </w:rPr>
              <w:t>mg/L、氨氮最大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0.2635</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总</w:t>
            </w:r>
            <w:r>
              <w:rPr>
                <w:rFonts w:ascii="Times New Roman" w:hAnsi="Times New Roman" w:eastAsia="宋体"/>
                <w:bCs/>
                <w:color w:val="auto"/>
                <w:kern w:val="2"/>
                <w:sz w:val="24"/>
                <w:szCs w:val="24"/>
              </w:rPr>
              <w:t>氮最大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2.9125</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总磷</w:t>
            </w:r>
            <w:r>
              <w:rPr>
                <w:rFonts w:ascii="Times New Roman" w:hAnsi="Times New Roman" w:eastAsia="宋体"/>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0.55</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化</w:t>
            </w:r>
            <w:r>
              <w:rPr>
                <w:rFonts w:hint="eastAsia" w:ascii="Times New Roman" w:hAnsi="Times New Roman" w:eastAsia="宋体" w:cs="Times New Roman"/>
                <w:bCs/>
                <w:color w:val="auto"/>
                <w:kern w:val="2"/>
                <w:sz w:val="24"/>
                <w:szCs w:val="24"/>
                <w:lang w:val="en-US" w:eastAsia="zh-CN"/>
              </w:rPr>
              <w:t>学需氧量</w:t>
            </w:r>
            <w:r>
              <w:rPr>
                <w:rFonts w:ascii="Times New Roman" w:hAnsi="Times New Roman" w:eastAsia="宋体" w:cs="Times New Roman"/>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cs="Times New Roman"/>
                <w:bCs/>
                <w:color w:val="auto"/>
                <w:kern w:val="2"/>
                <w:sz w:val="24"/>
                <w:szCs w:val="24"/>
              </w:rPr>
              <w:t>值</w:t>
            </w:r>
            <w:r>
              <w:rPr>
                <w:rFonts w:ascii="Times New Roman" w:hAnsi="Times New Roman" w:eastAsia="宋体" w:cs="Times New Roman"/>
                <w:bCs/>
                <w:color w:val="auto"/>
                <w:kern w:val="2"/>
                <w:sz w:val="24"/>
                <w:szCs w:val="24"/>
              </w:rPr>
              <w:t>为</w:t>
            </w:r>
            <w:r>
              <w:rPr>
                <w:rFonts w:hint="eastAsia" w:ascii="Times New Roman" w:hAnsi="Times New Roman" w:eastAsia="宋体" w:cs="Times New Roman"/>
                <w:bCs/>
                <w:color w:val="auto"/>
                <w:kern w:val="2"/>
                <w:sz w:val="24"/>
                <w:szCs w:val="24"/>
                <w:lang w:val="en-US" w:eastAsia="zh-CN"/>
              </w:rPr>
              <w:t>141</w:t>
            </w:r>
            <w:r>
              <w:rPr>
                <w:rFonts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val="en-US" w:eastAsia="zh-CN"/>
              </w:rPr>
              <w:t>石油类</w:t>
            </w:r>
            <w:r>
              <w:rPr>
                <w:rFonts w:ascii="Times New Roman" w:hAnsi="Times New Roman" w:eastAsia="宋体" w:cs="Times New Roman"/>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cs="Times New Roman"/>
                <w:bCs/>
                <w:color w:val="auto"/>
                <w:kern w:val="2"/>
                <w:sz w:val="24"/>
                <w:szCs w:val="24"/>
              </w:rPr>
              <w:t>值</w:t>
            </w:r>
            <w:r>
              <w:rPr>
                <w:rFonts w:ascii="Times New Roman" w:hAnsi="Times New Roman" w:eastAsia="宋体" w:cs="Times New Roman"/>
                <w:bCs/>
                <w:color w:val="auto"/>
                <w:kern w:val="2"/>
                <w:sz w:val="24"/>
                <w:szCs w:val="24"/>
              </w:rPr>
              <w:t>为</w:t>
            </w:r>
            <w:r>
              <w:rPr>
                <w:rFonts w:hint="eastAsia" w:ascii="Times New Roman" w:hAnsi="Times New Roman" w:eastAsia="宋体" w:cs="Times New Roman"/>
                <w:bCs/>
                <w:color w:val="auto"/>
                <w:kern w:val="2"/>
                <w:sz w:val="24"/>
                <w:szCs w:val="24"/>
                <w:lang w:val="en-US" w:eastAsia="zh-CN"/>
              </w:rPr>
              <w:t>1.6775</w:t>
            </w:r>
            <w:r>
              <w:rPr>
                <w:rFonts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val="en-US" w:eastAsia="zh-CN"/>
              </w:rPr>
              <w:t>锰</w:t>
            </w:r>
            <w:r>
              <w:rPr>
                <w:rFonts w:hint="eastAsia" w:ascii="Times New Roman" w:hAnsi="Times New Roman" w:eastAsia="宋体" w:cs="Times New Roman"/>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cs="Times New Roman"/>
                <w:bCs/>
                <w:color w:val="auto"/>
                <w:kern w:val="2"/>
                <w:sz w:val="24"/>
                <w:szCs w:val="24"/>
              </w:rPr>
              <w:t>值为0.</w:t>
            </w:r>
            <w:r>
              <w:rPr>
                <w:rFonts w:hint="eastAsia" w:ascii="Times New Roman" w:hAnsi="Times New Roman" w:eastAsia="宋体" w:cs="Times New Roman"/>
                <w:bCs/>
                <w:color w:val="auto"/>
                <w:kern w:val="2"/>
                <w:sz w:val="24"/>
                <w:szCs w:val="24"/>
                <w:lang w:val="en-US" w:eastAsia="zh-CN"/>
              </w:rPr>
              <w:t>06675</w:t>
            </w:r>
            <w:r>
              <w:rPr>
                <w:rFonts w:hint="eastAsia"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锌</w:t>
            </w:r>
            <w:r>
              <w:rPr>
                <w:rFonts w:hint="eastAsia" w:ascii="Times New Roman" w:hAnsi="Times New Roman" w:eastAsia="宋体" w:cs="Times New Roman"/>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cs="Times New Roman"/>
                <w:bCs/>
                <w:color w:val="auto"/>
                <w:kern w:val="2"/>
                <w:sz w:val="24"/>
                <w:szCs w:val="24"/>
              </w:rPr>
              <w:t>值为0.</w:t>
            </w:r>
            <w:r>
              <w:rPr>
                <w:rFonts w:hint="eastAsia" w:ascii="Times New Roman" w:hAnsi="Times New Roman" w:eastAsia="宋体" w:cs="Times New Roman"/>
                <w:bCs/>
                <w:color w:val="auto"/>
                <w:kern w:val="2"/>
                <w:sz w:val="24"/>
                <w:szCs w:val="24"/>
                <w:lang w:val="en-US" w:eastAsia="zh-CN"/>
              </w:rPr>
              <w:t>19525</w:t>
            </w:r>
            <w:r>
              <w:rPr>
                <w:rFonts w:hint="eastAsia"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铁</w:t>
            </w:r>
            <w:r>
              <w:rPr>
                <w:rFonts w:hint="eastAsia" w:ascii="Times New Roman" w:hAnsi="Times New Roman" w:eastAsia="宋体" w:cs="Times New Roman"/>
                <w:bCs/>
                <w:color w:val="auto"/>
                <w:kern w:val="2"/>
                <w:sz w:val="24"/>
                <w:szCs w:val="24"/>
              </w:rPr>
              <w:t>最大</w:t>
            </w:r>
            <w:r>
              <w:rPr>
                <w:rFonts w:hint="eastAsia" w:ascii="Times New Roman" w:hAnsi="Times New Roman" w:eastAsia="宋体"/>
                <w:bCs/>
                <w:color w:val="auto"/>
                <w:kern w:val="2"/>
                <w:sz w:val="24"/>
                <w:szCs w:val="24"/>
                <w:lang w:val="en-US" w:eastAsia="zh-CN"/>
              </w:rPr>
              <w:t>日均</w:t>
            </w:r>
            <w:r>
              <w:rPr>
                <w:rFonts w:hint="eastAsia" w:ascii="Times New Roman" w:hAnsi="Times New Roman" w:eastAsia="宋体" w:cs="Times New Roman"/>
                <w:bCs/>
                <w:color w:val="auto"/>
                <w:kern w:val="2"/>
                <w:sz w:val="24"/>
                <w:szCs w:val="24"/>
              </w:rPr>
              <w:t>值为0.</w:t>
            </w:r>
            <w:r>
              <w:rPr>
                <w:rFonts w:hint="eastAsia" w:ascii="Times New Roman" w:hAnsi="Times New Roman" w:eastAsia="宋体" w:cs="Times New Roman"/>
                <w:bCs/>
                <w:color w:val="auto"/>
                <w:kern w:val="2"/>
                <w:sz w:val="24"/>
                <w:szCs w:val="24"/>
                <w:lang w:val="en-US" w:eastAsia="zh-CN"/>
              </w:rPr>
              <w:t>62</w:t>
            </w:r>
            <w:r>
              <w:rPr>
                <w:rFonts w:hint="eastAsia" w:ascii="Times New Roman" w:hAnsi="Times New Roman" w:eastAsia="宋体" w:cs="Times New Roman"/>
                <w:bCs/>
                <w:color w:val="auto"/>
                <w:kern w:val="2"/>
                <w:sz w:val="24"/>
                <w:szCs w:val="24"/>
              </w:rPr>
              <w:t>mg/L</w:t>
            </w:r>
            <w:r>
              <w:rPr>
                <w:rFonts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阴</w:t>
            </w:r>
            <w:r>
              <w:rPr>
                <w:rFonts w:hint="eastAsia" w:ascii="Times New Roman" w:hAnsi="Times New Roman" w:eastAsia="宋体" w:cs="Times New Roman"/>
                <w:bCs/>
                <w:color w:val="auto"/>
                <w:kern w:val="2"/>
                <w:sz w:val="24"/>
                <w:szCs w:val="24"/>
              </w:rPr>
              <w:t>离子表面活性剂</w:t>
            </w:r>
            <w:r>
              <w:rPr>
                <w:rFonts w:hint="eastAsia" w:ascii="Times New Roman" w:hAnsi="Times New Roman" w:eastAsia="宋体" w:cs="Times New Roman"/>
                <w:bCs/>
                <w:color w:val="auto"/>
                <w:kern w:val="2"/>
                <w:sz w:val="24"/>
                <w:szCs w:val="24"/>
                <w:lang w:val="en-US" w:eastAsia="zh-CN"/>
              </w:rPr>
              <w:t>未检出</w:t>
            </w:r>
            <w:r>
              <w:rPr>
                <w:rFonts w:hint="eastAsia" w:ascii="Times New Roman" w:hAnsi="Times New Roman" w:eastAsia="宋体" w:cs="Times New Roman"/>
                <w:bCs/>
                <w:color w:val="auto"/>
                <w:kern w:val="2"/>
                <w:sz w:val="24"/>
                <w:szCs w:val="24"/>
                <w:lang w:eastAsia="zh-CN"/>
              </w:rPr>
              <w:t>。</w:t>
            </w:r>
            <w:r>
              <w:rPr>
                <w:rFonts w:ascii="Times New Roman" w:hAnsi="Times New Roman" w:eastAsia="宋体" w:cs="Times New Roman"/>
                <w:bCs/>
                <w:color w:val="auto"/>
                <w:kern w:val="2"/>
                <w:sz w:val="24"/>
                <w:szCs w:val="24"/>
              </w:rPr>
              <w:t>该项目</w:t>
            </w:r>
            <w:r>
              <w:rPr>
                <w:rFonts w:hint="eastAsia" w:ascii="Times New Roman" w:hAnsi="Times New Roman" w:eastAsia="宋体" w:cs="Times New Roman"/>
                <w:bCs/>
                <w:color w:val="auto"/>
                <w:kern w:val="2"/>
                <w:sz w:val="24"/>
                <w:szCs w:val="24"/>
              </w:rPr>
              <w:t>自建污水处理站出口废水中的pH值</w:t>
            </w:r>
            <w:r>
              <w:rPr>
                <w:rFonts w:hint="eastAsia" w:ascii="Times New Roman" w:hAnsi="Times New Roman" w:eastAsia="宋体" w:cs="Times New Roman"/>
                <w:bCs/>
                <w:color w:val="auto"/>
                <w:kern w:val="2"/>
                <w:sz w:val="24"/>
                <w:szCs w:val="24"/>
                <w:lang w:val="en-US" w:eastAsia="zh-CN"/>
              </w:rPr>
              <w:t>范围</w:t>
            </w:r>
            <w:r>
              <w:rPr>
                <w:rFonts w:hint="eastAsia" w:ascii="Times New Roman" w:hAnsi="Times New Roman" w:eastAsia="宋体" w:cs="Times New Roman"/>
                <w:bCs/>
                <w:color w:val="auto"/>
                <w:kern w:val="2"/>
                <w:sz w:val="24"/>
                <w:szCs w:val="24"/>
              </w:rPr>
              <w:t>、化学需氧量、悬浮物、</w:t>
            </w:r>
            <w:r>
              <w:rPr>
                <w:rFonts w:hint="eastAsia" w:ascii="Times New Roman" w:hAnsi="Times New Roman" w:eastAsia="宋体" w:cs="Times New Roman"/>
                <w:bCs/>
                <w:color w:val="auto"/>
                <w:kern w:val="2"/>
                <w:sz w:val="24"/>
                <w:szCs w:val="24"/>
                <w:lang w:val="en-US" w:eastAsia="zh-CN"/>
              </w:rPr>
              <w:t>总锰、总锌、</w:t>
            </w:r>
            <w:r>
              <w:rPr>
                <w:rFonts w:hint="eastAsia" w:ascii="Times New Roman" w:hAnsi="Times New Roman" w:eastAsia="宋体" w:cs="Times New Roman"/>
                <w:bCs/>
                <w:color w:val="auto"/>
                <w:kern w:val="2"/>
                <w:sz w:val="24"/>
                <w:szCs w:val="24"/>
              </w:rPr>
              <w:t>石油类和阴离子表面活性剂</w:t>
            </w:r>
            <w:r>
              <w:rPr>
                <w:rFonts w:ascii="Times New Roman" w:hAnsi="Times New Roman" w:eastAsia="宋体" w:cs="Times New Roman"/>
                <w:bCs/>
                <w:color w:val="auto"/>
                <w:kern w:val="2"/>
                <w:sz w:val="24"/>
                <w:szCs w:val="24"/>
              </w:rPr>
              <w:t>排放浓度</w:t>
            </w:r>
            <w:r>
              <w:rPr>
                <w:rFonts w:hint="eastAsia" w:ascii="Times New Roman" w:hAnsi="Times New Roman" w:eastAsia="宋体" w:cs="Times New Roman"/>
                <w:bCs/>
                <w:color w:val="auto"/>
                <w:kern w:val="2"/>
                <w:sz w:val="24"/>
                <w:szCs w:val="24"/>
                <w:lang w:val="en-US" w:eastAsia="zh-CN"/>
              </w:rPr>
              <w:t>最大日均值</w:t>
            </w:r>
            <w:r>
              <w:rPr>
                <w:rFonts w:ascii="Times New Roman" w:hAnsi="Times New Roman" w:eastAsia="宋体" w:cs="Times New Roman"/>
                <w:bCs/>
                <w:color w:val="auto"/>
                <w:kern w:val="2"/>
                <w:sz w:val="24"/>
                <w:szCs w:val="24"/>
              </w:rPr>
              <w:t>均符合《污水综合排放标准》（GB8978-1996）三级标准，氨氮</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总磷</w:t>
            </w:r>
            <w:r>
              <w:rPr>
                <w:rFonts w:ascii="Times New Roman" w:hAnsi="Times New Roman" w:eastAsia="宋体" w:cs="Times New Roman"/>
                <w:bCs/>
                <w:color w:val="auto"/>
                <w:kern w:val="2"/>
                <w:sz w:val="24"/>
                <w:szCs w:val="24"/>
              </w:rPr>
              <w:t>的排放浓度</w:t>
            </w:r>
            <w:r>
              <w:rPr>
                <w:rFonts w:hint="eastAsia" w:ascii="Times New Roman" w:hAnsi="Times New Roman" w:eastAsia="宋体" w:cs="Times New Roman"/>
                <w:bCs/>
                <w:color w:val="auto"/>
                <w:kern w:val="2"/>
                <w:sz w:val="24"/>
                <w:szCs w:val="24"/>
                <w:lang w:val="en-US" w:eastAsia="zh-CN"/>
              </w:rPr>
              <w:t>最大日均值</w:t>
            </w:r>
            <w:r>
              <w:rPr>
                <w:rFonts w:ascii="Times New Roman" w:hAnsi="Times New Roman" w:eastAsia="宋体" w:cs="Times New Roman"/>
                <w:bCs/>
                <w:color w:val="auto"/>
                <w:kern w:val="2"/>
                <w:sz w:val="24"/>
                <w:szCs w:val="24"/>
              </w:rPr>
              <w:t>均符合《工业企业废水氮、磷污染物间接排放限值》（DB33/887-2013）中间接排放限值</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总铁</w:t>
            </w:r>
            <w:r>
              <w:rPr>
                <w:rFonts w:ascii="Times New Roman" w:hAnsi="Times New Roman" w:eastAsia="宋体" w:cs="Times New Roman"/>
                <w:bCs/>
                <w:color w:val="auto"/>
                <w:kern w:val="2"/>
                <w:sz w:val="24"/>
                <w:szCs w:val="24"/>
              </w:rPr>
              <w:t>的排放浓度</w:t>
            </w:r>
            <w:r>
              <w:rPr>
                <w:rFonts w:hint="eastAsia" w:ascii="Times New Roman" w:hAnsi="Times New Roman" w:eastAsia="宋体" w:cs="Times New Roman"/>
                <w:bCs/>
                <w:color w:val="auto"/>
                <w:kern w:val="2"/>
                <w:sz w:val="24"/>
                <w:szCs w:val="24"/>
                <w:lang w:val="en-US" w:eastAsia="zh-CN"/>
              </w:rPr>
              <w:t>最大日均值满足</w:t>
            </w:r>
            <w:r>
              <w:rPr>
                <w:rFonts w:hint="default" w:ascii="Times New Roman" w:hAnsi="Times New Roman" w:eastAsia="宋体" w:cs="Times New Roman"/>
                <w:bCs/>
                <w:color w:val="auto"/>
                <w:kern w:val="2"/>
                <w:sz w:val="24"/>
                <w:szCs w:val="24"/>
                <w:lang w:val="en-US" w:eastAsia="zh-CN"/>
              </w:rPr>
              <w:t>《酸洗废水排放总铁浓度限值》（DB33/844-2011）表1二级排放浓度限值，</w:t>
            </w:r>
            <w:r>
              <w:rPr>
                <w:rFonts w:hint="eastAsia" w:ascii="Times New Roman" w:hAnsi="Times New Roman" w:eastAsia="宋体" w:cs="Times New Roman"/>
                <w:bCs/>
                <w:color w:val="auto"/>
                <w:kern w:val="2"/>
                <w:sz w:val="24"/>
                <w:szCs w:val="24"/>
                <w:lang w:val="en-US" w:eastAsia="zh-CN"/>
              </w:rPr>
              <w:t>总氮</w:t>
            </w:r>
            <w:r>
              <w:rPr>
                <w:rFonts w:ascii="Times New Roman" w:hAnsi="Times New Roman" w:eastAsia="宋体" w:cs="Times New Roman"/>
                <w:bCs/>
                <w:color w:val="auto"/>
                <w:kern w:val="2"/>
                <w:sz w:val="24"/>
                <w:szCs w:val="24"/>
              </w:rPr>
              <w:t>的排放浓度</w:t>
            </w:r>
            <w:r>
              <w:rPr>
                <w:rFonts w:hint="eastAsia" w:ascii="Times New Roman" w:hAnsi="Times New Roman" w:eastAsia="宋体" w:cs="Times New Roman"/>
                <w:bCs/>
                <w:color w:val="auto"/>
                <w:kern w:val="2"/>
                <w:sz w:val="24"/>
                <w:szCs w:val="24"/>
                <w:lang w:val="en-US" w:eastAsia="zh-CN"/>
              </w:rPr>
              <w:t>最大日均值满足</w:t>
            </w:r>
            <w:r>
              <w:rPr>
                <w:rFonts w:hint="default" w:ascii="Times New Roman" w:hAnsi="Times New Roman" w:eastAsia="宋体" w:cs="Times New Roman"/>
                <w:bCs/>
                <w:color w:val="auto"/>
                <w:kern w:val="2"/>
                <w:sz w:val="24"/>
                <w:szCs w:val="24"/>
                <w:lang w:val="en-US" w:eastAsia="zh-CN"/>
              </w:rPr>
              <w:t>《污水排入城镇下水道水质标准》（GB/T31962-2015）表1污水排入城镇下水道水质控制项目限值B级</w:t>
            </w:r>
            <w:r>
              <w:rPr>
                <w:rFonts w:ascii="Times New Roman" w:hAnsi="Times New Roman" w:eastAsia="宋体" w:cs="Times New Roman"/>
                <w:bCs/>
                <w:color w:val="auto"/>
                <w:kern w:val="2"/>
                <w:sz w:val="24"/>
                <w:szCs w:val="24"/>
              </w:rPr>
              <w:t>。</w:t>
            </w:r>
          </w:p>
          <w:p>
            <w:pPr>
              <w:widowControl w:val="0"/>
              <w:adjustRightInd/>
              <w:snapToGrid/>
              <w:spacing w:after="0" w:line="360"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7.3噪声监测结果</w:t>
            </w:r>
          </w:p>
          <w:p>
            <w:pPr>
              <w:widowControl w:val="0"/>
              <w:adjustRightInd/>
              <w:snapToGrid/>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表7-</w:t>
            </w:r>
            <w:r>
              <w:rPr>
                <w:rFonts w:hint="eastAsia" w:ascii="Times New Roman" w:hAnsi="Times New Roman" w:eastAsia="宋体"/>
                <w:b/>
                <w:bCs/>
                <w:color w:val="auto"/>
                <w:sz w:val="21"/>
                <w:szCs w:val="21"/>
                <w:lang w:val="en-US" w:eastAsia="zh-CN"/>
              </w:rPr>
              <w:t xml:space="preserve">8 </w:t>
            </w:r>
            <w:r>
              <w:rPr>
                <w:rFonts w:ascii="Times New Roman" w:hAnsi="Times New Roman" w:eastAsia="宋体"/>
                <w:b/>
                <w:bCs/>
                <w:color w:val="auto"/>
                <w:sz w:val="21"/>
                <w:szCs w:val="21"/>
              </w:rPr>
              <w:t>噪声检测结果一览表单位：dB（A）</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1"/>
              <w:gridCol w:w="981"/>
              <w:gridCol w:w="991"/>
              <w:gridCol w:w="2316"/>
              <w:gridCol w:w="2397"/>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34" w:type="pct"/>
                  <w:gridSpan w:val="3"/>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检测日期</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2023-9-27</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2023-9-28</w:t>
                  </w:r>
                </w:p>
              </w:tc>
              <w:tc>
                <w:tcPr>
                  <w:tcW w:w="757" w:type="pct"/>
                  <w:vMerge w:val="restar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val="en-US" w:eastAsia="zh-CN"/>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634" w:type="pct"/>
                  <w:gridSpan w:val="3"/>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环境条件</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天气：晴，风向：东</w:t>
                  </w:r>
                </w:p>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风速：1.3-2.4(</w:t>
                  </w:r>
                  <w:r>
                    <w:rPr>
                      <w:rFonts w:hint="default" w:ascii="Times New Roman" w:hAnsi="Times New Roman" w:eastAsia="宋体" w:cs="Times New Roman"/>
                      <w:color w:val="auto"/>
                      <w:sz w:val="21"/>
                      <w:szCs w:val="21"/>
                      <w:lang w:val="en-US" w:eastAsia="zh-CN"/>
                    </w:rPr>
                    <w:t>m/s</w:t>
                  </w:r>
                  <w:r>
                    <w:rPr>
                      <w:rFonts w:hint="eastAsia" w:ascii="Times New Roman" w:hAnsi="Times New Roman" w:eastAsia="宋体" w:cs="Times New Roman"/>
                      <w:color w:val="auto"/>
                      <w:sz w:val="21"/>
                      <w:szCs w:val="21"/>
                      <w:lang w:val="en-US" w:eastAsia="zh-CN"/>
                    </w:rPr>
                    <w:t>)</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天气：晴，风向：东</w:t>
                  </w:r>
                </w:p>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风速：1.1-2.1(</w:t>
                  </w:r>
                  <w:r>
                    <w:rPr>
                      <w:rFonts w:hint="default" w:ascii="Times New Roman" w:hAnsi="Times New Roman" w:eastAsia="宋体" w:cs="Times New Roman"/>
                      <w:color w:val="auto"/>
                      <w:sz w:val="21"/>
                      <w:szCs w:val="21"/>
                      <w:lang w:val="en-US" w:eastAsia="zh-CN"/>
                    </w:rPr>
                    <w:t>m/s</w:t>
                  </w:r>
                  <w:r>
                    <w:rPr>
                      <w:rFonts w:hint="eastAsia" w:ascii="Times New Roman" w:hAnsi="Times New Roman" w:eastAsia="宋体" w:cs="Times New Roman"/>
                      <w:color w:val="auto"/>
                      <w:sz w:val="21"/>
                      <w:szCs w:val="21"/>
                      <w:lang w:val="en-US" w:eastAsia="zh-CN"/>
                    </w:rPr>
                    <w:t>)</w:t>
                  </w:r>
                </w:p>
              </w:tc>
              <w:tc>
                <w:tcPr>
                  <w:tcW w:w="757"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检测点位</w:t>
                  </w:r>
                </w:p>
              </w:tc>
              <w:tc>
                <w:tcPr>
                  <w:tcW w:w="543"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检测项目</w:t>
                  </w:r>
                </w:p>
              </w:tc>
              <w:tc>
                <w:tcPr>
                  <w:tcW w:w="547"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检测时段</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实测值</w:t>
                  </w:r>
                  <w:r>
                    <w:rPr>
                      <w:rFonts w:hint="default" w:ascii="Times New Roman" w:hAnsi="Times New Roman" w:eastAsia="宋体" w:cs="Times New Roman"/>
                      <w:color w:val="auto"/>
                      <w:sz w:val="21"/>
                      <w:szCs w:val="21"/>
                      <w:lang w:val="en-US" w:eastAsia="zh-CN"/>
                    </w:rPr>
                    <w:t>dB(A)</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实测值</w:t>
                  </w:r>
                  <w:r>
                    <w:rPr>
                      <w:rFonts w:hint="default" w:ascii="Times New Roman" w:hAnsi="Times New Roman" w:eastAsia="宋体" w:cs="Times New Roman"/>
                      <w:color w:val="auto"/>
                      <w:sz w:val="21"/>
                      <w:szCs w:val="21"/>
                      <w:lang w:val="en-US" w:eastAsia="zh-CN"/>
                    </w:rPr>
                    <w:t>dB(A)</w:t>
                  </w:r>
                </w:p>
              </w:tc>
              <w:tc>
                <w:tcPr>
                  <w:tcW w:w="757"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厂界东11#</w:t>
                  </w:r>
                </w:p>
              </w:tc>
              <w:tc>
                <w:tcPr>
                  <w:tcW w:w="543" w:type="pct"/>
                  <w:vMerge w:val="restar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工业企业厂界环境噪声</w:t>
                  </w:r>
                </w:p>
              </w:tc>
              <w:tc>
                <w:tcPr>
                  <w:tcW w:w="547"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59.7</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59.8</w:t>
                  </w:r>
                </w:p>
              </w:tc>
              <w:tc>
                <w:tcPr>
                  <w:tcW w:w="757" w:type="pct"/>
                  <w:vMerge w:val="restar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厂界南12#</w:t>
                  </w:r>
                </w:p>
              </w:tc>
              <w:tc>
                <w:tcPr>
                  <w:tcW w:w="543"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59.3</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60.6</w:t>
                  </w:r>
                </w:p>
              </w:tc>
              <w:tc>
                <w:tcPr>
                  <w:tcW w:w="757"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pct"/>
                  <w:tcBorders>
                    <w:tl2br w:val="nil"/>
                    <w:tr2bl w:val="nil"/>
                  </w:tcBorders>
                  <w:shd w:val="clear" w:color="auto" w:fill="auto"/>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厂界西13#</w:t>
                  </w:r>
                </w:p>
              </w:tc>
              <w:tc>
                <w:tcPr>
                  <w:tcW w:w="543"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c>
                <w:tcPr>
                  <w:tcW w:w="547"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60.5</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60.3</w:t>
                  </w:r>
                </w:p>
              </w:tc>
              <w:tc>
                <w:tcPr>
                  <w:tcW w:w="757"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厂界北14#</w:t>
                  </w:r>
                </w:p>
              </w:tc>
              <w:tc>
                <w:tcPr>
                  <w:tcW w:w="543"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p>
              </w:tc>
              <w:tc>
                <w:tcPr>
                  <w:tcW w:w="547" w:type="pct"/>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1281"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61.0</w:t>
                  </w:r>
                </w:p>
              </w:tc>
              <w:tc>
                <w:tcPr>
                  <w:tcW w:w="1326" w:type="pct"/>
                  <w:tcBorders>
                    <w:tl2br w:val="nil"/>
                    <w:tr2bl w:val="nil"/>
                  </w:tcBorders>
                  <w:shd w:val="clear" w:color="auto" w:fill="FFFFFF"/>
                  <w:noWrap w:val="0"/>
                  <w:vAlign w:val="center"/>
                </w:tcPr>
                <w:p>
                  <w:pPr>
                    <w:pStyle w:val="20"/>
                    <w:tabs>
                      <w:tab w:val="left" w:pos="-2848"/>
                    </w:tabs>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60.6</w:t>
                  </w:r>
                </w:p>
              </w:tc>
              <w:tc>
                <w:tcPr>
                  <w:tcW w:w="757" w:type="pct"/>
                  <w:vMerge w:val="continue"/>
                  <w:tcBorders>
                    <w:tl2br w:val="nil"/>
                    <w:tr2bl w:val="nil"/>
                  </w:tcBorders>
                  <w:shd w:val="clear" w:color="auto" w:fill="FFFFFF"/>
                  <w:noWrap w:val="0"/>
                  <w:vAlign w:val="center"/>
                </w:tcPr>
                <w:p>
                  <w:pPr>
                    <w:pStyle w:val="20"/>
                    <w:tabs>
                      <w:tab w:val="left" w:pos="-2848"/>
                    </w:tabs>
                    <w:adjustRightInd/>
                    <w:snapToGrid/>
                    <w:spacing w:after="0"/>
                    <w:jc w:val="center"/>
                    <w:rPr>
                      <w:rFonts w:hint="eastAsia"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tcBorders>
                    <w:tl2br w:val="nil"/>
                    <w:tr2bl w:val="nil"/>
                  </w:tcBorders>
                  <w:noWrap w:val="0"/>
                  <w:vAlign w:val="center"/>
                </w:tcPr>
                <w:p>
                  <w:pPr>
                    <w:pStyle w:val="20"/>
                    <w:tabs>
                      <w:tab w:val="left" w:pos="-2848"/>
                    </w:tabs>
                    <w:adjustRightInd/>
                    <w:snapToGrid/>
                    <w:spacing w:after="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参考标准：参考《工业企业厂界环境噪声排放标准》（GB12348-2008）表1中3类功能区。</w:t>
                  </w:r>
                </w:p>
              </w:tc>
            </w:tr>
          </w:tbl>
          <w:p>
            <w:pPr>
              <w:widowControl w:val="0"/>
              <w:adjustRightInd/>
              <w:snapToGrid/>
              <w:spacing w:after="0" w:line="360"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验收检测期间，项目厂界</w:t>
            </w:r>
            <w:r>
              <w:rPr>
                <w:rFonts w:hint="eastAsia" w:ascii="Times New Roman" w:hAnsi="Times New Roman" w:eastAsia="宋体"/>
                <w:bCs/>
                <w:color w:val="auto"/>
                <w:kern w:val="2"/>
                <w:sz w:val="24"/>
                <w:szCs w:val="24"/>
              </w:rPr>
              <w:t>东、南、西</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lang w:val="en-US" w:eastAsia="zh-CN"/>
              </w:rPr>
              <w:t>北</w:t>
            </w:r>
            <w:r>
              <w:rPr>
                <w:rFonts w:ascii="Times New Roman" w:hAnsi="Times New Roman" w:eastAsia="宋体"/>
                <w:bCs/>
                <w:color w:val="auto"/>
                <w:kern w:val="2"/>
                <w:sz w:val="24"/>
                <w:szCs w:val="24"/>
              </w:rPr>
              <w:t>侧噪声测定值为昼间5</w:t>
            </w:r>
            <w:r>
              <w:rPr>
                <w:rFonts w:hint="eastAsia" w:ascii="Times New Roman" w:hAnsi="Times New Roman" w:eastAsia="宋体"/>
                <w:bCs/>
                <w:color w:val="auto"/>
                <w:kern w:val="2"/>
                <w:sz w:val="24"/>
                <w:szCs w:val="24"/>
                <w:lang w:val="en-US" w:eastAsia="zh-CN"/>
              </w:rPr>
              <w:t>9.3</w:t>
            </w:r>
            <w:r>
              <w:rPr>
                <w:rFonts w:ascii="Times New Roman" w:hAnsi="Times New Roman" w:eastAsia="宋体"/>
                <w:bCs/>
                <w:color w:val="auto"/>
                <w:kern w:val="2"/>
                <w:sz w:val="24"/>
                <w:szCs w:val="24"/>
              </w:rPr>
              <w:t>dB</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A</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w:t>
            </w:r>
            <w:r>
              <w:rPr>
                <w:rFonts w:hint="eastAsia" w:ascii="Times New Roman" w:hAnsi="Times New Roman" w:eastAsia="宋体"/>
                <w:bCs/>
                <w:color w:val="auto"/>
                <w:kern w:val="2"/>
                <w:sz w:val="24"/>
                <w:szCs w:val="24"/>
                <w:lang w:val="en-US" w:eastAsia="zh-CN"/>
              </w:rPr>
              <w:t>61.0</w:t>
            </w:r>
            <w:r>
              <w:rPr>
                <w:rFonts w:ascii="Times New Roman" w:hAnsi="Times New Roman" w:eastAsia="宋体"/>
                <w:bCs/>
                <w:color w:val="auto"/>
                <w:kern w:val="2"/>
                <w:sz w:val="24"/>
                <w:szCs w:val="24"/>
              </w:rPr>
              <w:t>dB</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A</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，能达到《工业企业厂界环境噪声排放标准》（GB12348-2008）的3类排放限值要求。</w:t>
            </w:r>
          </w:p>
          <w:p>
            <w:pPr>
              <w:widowControl w:val="0"/>
              <w:adjustRightInd/>
              <w:snapToGrid/>
              <w:spacing w:after="0" w:line="360"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7.</w:t>
            </w:r>
            <w:r>
              <w:rPr>
                <w:rFonts w:hint="eastAsia" w:ascii="Times New Roman" w:hAnsi="Times New Roman" w:eastAsia="宋体"/>
                <w:b/>
                <w:color w:val="auto"/>
                <w:kern w:val="2"/>
                <w:sz w:val="24"/>
                <w:szCs w:val="24"/>
              </w:rPr>
              <w:t>4污染物排放总量核算</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hint="eastAsia" w:ascii="Times New Roman" w:hAnsi="Times New Roman" w:eastAsia="宋体"/>
                <w:bCs/>
                <w:color w:val="auto"/>
                <w:kern w:val="2"/>
                <w:sz w:val="24"/>
                <w:szCs w:val="24"/>
              </w:rPr>
              <w:t>根据本项目环评文件，项目污染物列入总量控制的为VOCs、COD、氨氮</w:t>
            </w:r>
            <w:r>
              <w:rPr>
                <w:rFonts w:hint="eastAsia" w:ascii="Times New Roman" w:hAnsi="Times New Roman" w:eastAsia="宋体"/>
                <w:bCs/>
                <w:color w:val="auto"/>
                <w:kern w:val="2"/>
                <w:sz w:val="24"/>
                <w:szCs w:val="24"/>
                <w:lang w:eastAsia="zh-CN"/>
              </w:rPr>
              <w:t>、</w:t>
            </w:r>
            <w:r>
              <w:rPr>
                <w:rFonts w:hint="eastAsia" w:ascii="Times New Roman" w:hAnsi="Times New Roman" w:eastAsia="宋体"/>
                <w:bCs/>
                <w:color w:val="auto"/>
                <w:kern w:val="2"/>
                <w:sz w:val="24"/>
                <w:szCs w:val="24"/>
                <w:lang w:val="en-US" w:eastAsia="zh-CN"/>
              </w:rPr>
              <w:t>颗粒物、氮氧化物、二氧化硫</w:t>
            </w:r>
            <w:r>
              <w:rPr>
                <w:rFonts w:hint="eastAsia" w:ascii="Times New Roman" w:hAnsi="Times New Roman" w:eastAsia="宋体"/>
                <w:bCs/>
                <w:color w:val="auto"/>
                <w:kern w:val="2"/>
                <w:sz w:val="24"/>
                <w:szCs w:val="24"/>
              </w:rPr>
              <w:t>。项目主要污染物总量控制指标见下表。</w:t>
            </w:r>
          </w:p>
          <w:p>
            <w:pPr>
              <w:widowControl w:val="0"/>
              <w:adjustRightInd/>
              <w:snapToGrid/>
              <w:spacing w:after="0"/>
              <w:jc w:val="center"/>
              <w:rPr>
                <w:rFonts w:hint="eastAsia" w:ascii="Times New Roman" w:hAnsi="Times New Roman" w:eastAsia="宋体"/>
                <w:b/>
                <w:color w:val="auto"/>
                <w:kern w:val="2"/>
                <w:sz w:val="21"/>
                <w:szCs w:val="21"/>
              </w:rPr>
            </w:pPr>
            <w:r>
              <w:rPr>
                <w:rFonts w:hint="eastAsia" w:ascii="Times New Roman" w:hAnsi="Times New Roman" w:eastAsia="宋体"/>
                <w:b/>
                <w:color w:val="auto"/>
                <w:kern w:val="2"/>
                <w:sz w:val="21"/>
                <w:szCs w:val="21"/>
              </w:rPr>
              <w:t>表7-6主要污染物排放总量核算</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575"/>
              <w:gridCol w:w="1719"/>
              <w:gridCol w:w="2175"/>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31" w:type="dxa"/>
                  <w:gridSpan w:val="2"/>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项目名称</w:t>
                  </w:r>
                </w:p>
              </w:tc>
              <w:tc>
                <w:tcPr>
                  <w:tcW w:w="1719"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实际排放量t/a</w:t>
                  </w:r>
                </w:p>
              </w:tc>
              <w:tc>
                <w:tcPr>
                  <w:tcW w:w="2175"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环评审批量</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lang w:val="en-US" w:eastAsia="zh-CN"/>
                    </w:rPr>
                    <w:t>有组织</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rPr>
                    <w:t>t/a</w:t>
                  </w:r>
                </w:p>
              </w:tc>
              <w:tc>
                <w:tcPr>
                  <w:tcW w:w="2180"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restart"/>
                  <w:noWrap w:val="0"/>
                  <w:vAlign w:val="center"/>
                </w:tcPr>
                <w:p>
                  <w:pPr>
                    <w:widowControl w:val="0"/>
                    <w:adjustRightInd/>
                    <w:snapToGrid/>
                    <w:spacing w:after="0"/>
                    <w:jc w:val="center"/>
                    <w:rPr>
                      <w:rFonts w:hint="eastAsia"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废气</w:t>
                  </w:r>
                </w:p>
              </w:tc>
              <w:tc>
                <w:tcPr>
                  <w:tcW w:w="1575"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非甲烷总烃</w:t>
                  </w:r>
                </w:p>
              </w:tc>
              <w:tc>
                <w:tcPr>
                  <w:tcW w:w="1719" w:type="dxa"/>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w:t>
                  </w:r>
                  <w:r>
                    <w:rPr>
                      <w:rFonts w:hint="eastAsia" w:ascii="Times New Roman" w:hAnsi="Times New Roman" w:eastAsia="宋体" w:cs="Times New Roman"/>
                      <w:bCs/>
                      <w:color w:val="auto"/>
                      <w:kern w:val="2"/>
                      <w:sz w:val="21"/>
                      <w:szCs w:val="21"/>
                      <w:lang w:val="en-US" w:eastAsia="zh-CN"/>
                    </w:rPr>
                    <w:t>2967</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0.324</w:t>
                  </w:r>
                </w:p>
              </w:tc>
              <w:tc>
                <w:tcPr>
                  <w:tcW w:w="2180"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continue"/>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p>
              </w:tc>
              <w:tc>
                <w:tcPr>
                  <w:tcW w:w="1575"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颗粒物</w:t>
                  </w:r>
                </w:p>
              </w:tc>
              <w:tc>
                <w:tcPr>
                  <w:tcW w:w="1719" w:type="dxa"/>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w:t>
                  </w:r>
                  <w:r>
                    <w:rPr>
                      <w:rFonts w:hint="eastAsia" w:ascii="Times New Roman" w:hAnsi="Times New Roman" w:eastAsia="宋体" w:cs="Times New Roman"/>
                      <w:bCs/>
                      <w:color w:val="auto"/>
                      <w:kern w:val="2"/>
                      <w:sz w:val="21"/>
                      <w:szCs w:val="21"/>
                      <w:lang w:val="en-US" w:eastAsia="zh-CN"/>
                    </w:rPr>
                    <w:t>1476</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0.157</w:t>
                  </w:r>
                </w:p>
              </w:tc>
              <w:tc>
                <w:tcPr>
                  <w:tcW w:w="2180"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continue"/>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p>
              </w:tc>
              <w:tc>
                <w:tcPr>
                  <w:tcW w:w="1575"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氮氧化物</w:t>
                  </w:r>
                </w:p>
              </w:tc>
              <w:tc>
                <w:tcPr>
                  <w:tcW w:w="1719" w:type="dxa"/>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w:t>
                  </w:r>
                  <w:r>
                    <w:rPr>
                      <w:rFonts w:hint="eastAsia" w:ascii="Times New Roman" w:hAnsi="Times New Roman" w:eastAsia="宋体" w:cs="Times New Roman"/>
                      <w:bCs/>
                      <w:color w:val="auto"/>
                      <w:kern w:val="2"/>
                      <w:sz w:val="21"/>
                      <w:szCs w:val="21"/>
                      <w:lang w:val="en-US" w:eastAsia="zh-CN"/>
                    </w:rPr>
                    <w:t>0017</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0.094</w:t>
                  </w:r>
                </w:p>
              </w:tc>
              <w:tc>
                <w:tcPr>
                  <w:tcW w:w="2180"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continue"/>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p>
              </w:tc>
              <w:tc>
                <w:tcPr>
                  <w:tcW w:w="1575"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二氧化硫</w:t>
                  </w:r>
                </w:p>
              </w:tc>
              <w:tc>
                <w:tcPr>
                  <w:tcW w:w="1719" w:type="dxa"/>
                  <w:noWrap w:val="0"/>
                  <w:vAlign w:val="center"/>
                </w:tcPr>
                <w:p>
                  <w:pPr>
                    <w:widowControl w:val="0"/>
                    <w:adjustRightInd/>
                    <w:snapToGrid/>
                    <w:spacing w:after="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eastAsia="宋体" w:cs="Times New Roman"/>
                      <w:bCs/>
                      <w:color w:val="auto"/>
                      <w:kern w:val="2"/>
                      <w:sz w:val="21"/>
                      <w:szCs w:val="21"/>
                      <w:lang w:val="en-US" w:eastAsia="zh-CN"/>
                    </w:rPr>
                    <w:t>0.</w:t>
                  </w:r>
                  <w:r>
                    <w:rPr>
                      <w:rFonts w:hint="eastAsia" w:ascii="Times New Roman" w:hAnsi="Times New Roman" w:eastAsia="宋体" w:cs="Times New Roman"/>
                      <w:bCs/>
                      <w:color w:val="auto"/>
                      <w:kern w:val="2"/>
                      <w:sz w:val="21"/>
                      <w:szCs w:val="21"/>
                      <w:lang w:val="en-US" w:eastAsia="zh-CN"/>
                    </w:rPr>
                    <w:t>0017</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0.02</w:t>
                  </w:r>
                </w:p>
              </w:tc>
              <w:tc>
                <w:tcPr>
                  <w:tcW w:w="2180"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restart"/>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生产废水</w:t>
                  </w:r>
                </w:p>
              </w:tc>
              <w:tc>
                <w:tcPr>
                  <w:tcW w:w="1575" w:type="dxa"/>
                  <w:noWrap w:val="0"/>
                  <w:vAlign w:val="center"/>
                </w:tcPr>
                <w:p>
                  <w:pPr>
                    <w:widowControl w:val="0"/>
                    <w:adjustRightInd/>
                    <w:snapToGrid/>
                    <w:spacing w:after="0"/>
                    <w:jc w:val="center"/>
                    <w:rPr>
                      <w:rFonts w:hint="eastAsia"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COD</w:t>
                  </w:r>
                </w:p>
              </w:tc>
              <w:tc>
                <w:tcPr>
                  <w:tcW w:w="1719" w:type="dxa"/>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0.088</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0.088</w:t>
                  </w:r>
                </w:p>
              </w:tc>
              <w:tc>
                <w:tcPr>
                  <w:tcW w:w="2180"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56" w:type="dxa"/>
                  <w:vMerge w:val="continue"/>
                  <w:noWrap w:val="0"/>
                  <w:vAlign w:val="center"/>
                </w:tcPr>
                <w:p>
                  <w:pPr>
                    <w:widowControl w:val="0"/>
                    <w:adjustRightInd/>
                    <w:snapToGrid/>
                    <w:spacing w:after="0"/>
                    <w:jc w:val="center"/>
                    <w:rPr>
                      <w:rFonts w:ascii="Times New Roman" w:hAnsi="Times New Roman" w:eastAsia="宋体"/>
                      <w:bCs/>
                      <w:color w:val="auto"/>
                      <w:kern w:val="2"/>
                      <w:sz w:val="21"/>
                      <w:szCs w:val="21"/>
                    </w:rPr>
                  </w:pPr>
                </w:p>
              </w:tc>
              <w:tc>
                <w:tcPr>
                  <w:tcW w:w="1575"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氨氮</w:t>
                  </w:r>
                </w:p>
              </w:tc>
              <w:tc>
                <w:tcPr>
                  <w:tcW w:w="1719" w:type="dxa"/>
                  <w:noWrap w:val="0"/>
                  <w:vAlign w:val="center"/>
                </w:tcPr>
                <w:p>
                  <w:pPr>
                    <w:widowControl w:val="0"/>
                    <w:adjustRightInd/>
                    <w:snapToGrid/>
                    <w:spacing w:after="0"/>
                    <w:jc w:val="center"/>
                    <w:rPr>
                      <w:rFonts w:hint="default" w:ascii="Times New Roman" w:hAnsi="Times New Roman" w:eastAsia="宋体" w:cs="Times New Roman"/>
                      <w:bCs/>
                      <w:color w:val="auto"/>
                      <w:kern w:val="2"/>
                      <w:sz w:val="21"/>
                      <w:szCs w:val="21"/>
                      <w:lang w:val="en-US" w:eastAsia="zh-CN"/>
                    </w:rPr>
                  </w:pPr>
                  <w:r>
                    <w:rPr>
                      <w:rFonts w:hint="eastAsia" w:ascii="Times New Roman" w:hAnsi="Times New Roman" w:eastAsia="宋体" w:cs="Times New Roman"/>
                      <w:bCs/>
                      <w:color w:val="auto"/>
                      <w:kern w:val="2"/>
                      <w:sz w:val="21"/>
                      <w:szCs w:val="21"/>
                      <w:lang w:val="en-US" w:eastAsia="zh-CN"/>
                    </w:rPr>
                    <w:t>0.0044</w:t>
                  </w:r>
                </w:p>
              </w:tc>
              <w:tc>
                <w:tcPr>
                  <w:tcW w:w="2175" w:type="dxa"/>
                  <w:noWrap w:val="0"/>
                  <w:vAlign w:val="center"/>
                </w:tcPr>
                <w:p>
                  <w:pPr>
                    <w:widowControl w:val="0"/>
                    <w:adjustRightInd/>
                    <w:snapToGrid/>
                    <w:spacing w:after="0"/>
                    <w:jc w:val="center"/>
                    <w:rPr>
                      <w:rFonts w:hint="default" w:ascii="Times New Roman" w:hAnsi="Times New Roman" w:eastAsia="宋体"/>
                      <w:bCs/>
                      <w:color w:val="auto"/>
                      <w:kern w:val="2"/>
                      <w:sz w:val="21"/>
                      <w:szCs w:val="21"/>
                      <w:lang w:val="en-US" w:eastAsia="zh-CN"/>
                    </w:rPr>
                  </w:pPr>
                  <w:r>
                    <w:rPr>
                      <w:rFonts w:hint="eastAsia" w:ascii="Times New Roman" w:hAnsi="Times New Roman" w:eastAsia="宋体"/>
                      <w:bCs/>
                      <w:color w:val="auto"/>
                      <w:kern w:val="2"/>
                      <w:sz w:val="21"/>
                      <w:szCs w:val="21"/>
                      <w:lang w:val="en-US" w:eastAsia="zh-CN"/>
                    </w:rPr>
                    <w:t>0.0044</w:t>
                  </w:r>
                </w:p>
              </w:tc>
              <w:tc>
                <w:tcPr>
                  <w:tcW w:w="2180" w:type="dxa"/>
                  <w:noWrap w:val="0"/>
                  <w:vAlign w:val="center"/>
                </w:tcPr>
                <w:p>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符合</w:t>
                  </w:r>
                </w:p>
              </w:tc>
            </w:tr>
          </w:tbl>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val="en-US" w:eastAsia="zh-CN"/>
              </w:rPr>
            </w:pPr>
            <w:r>
              <w:rPr>
                <w:rFonts w:ascii="Times New Roman" w:hAnsi="Times New Roman" w:eastAsia="宋体"/>
                <w:bCs/>
                <w:color w:val="auto"/>
                <w:kern w:val="2"/>
                <w:sz w:val="24"/>
                <w:szCs w:val="24"/>
              </w:rPr>
              <w:t>本次验收</w:t>
            </w:r>
            <w:r>
              <w:rPr>
                <w:rFonts w:hint="eastAsia" w:ascii="Times New Roman" w:hAnsi="Times New Roman" w:eastAsia="宋体"/>
                <w:bCs/>
                <w:color w:val="auto"/>
                <w:kern w:val="2"/>
                <w:sz w:val="24"/>
                <w:szCs w:val="24"/>
                <w:lang w:val="en-US" w:eastAsia="zh-CN"/>
              </w:rPr>
              <w:t>废气</w:t>
            </w:r>
            <w:r>
              <w:rPr>
                <w:rFonts w:ascii="Times New Roman" w:hAnsi="Times New Roman" w:eastAsia="宋体"/>
                <w:bCs/>
                <w:color w:val="auto"/>
                <w:kern w:val="2"/>
                <w:sz w:val="24"/>
                <w:szCs w:val="24"/>
              </w:rPr>
              <w:t>总量计算</w:t>
            </w:r>
            <w:r>
              <w:rPr>
                <w:rFonts w:hint="eastAsia" w:ascii="Times New Roman" w:hAnsi="Times New Roman" w:eastAsia="宋体"/>
                <w:bCs/>
                <w:color w:val="auto"/>
                <w:kern w:val="2"/>
                <w:sz w:val="24"/>
                <w:szCs w:val="24"/>
                <w:lang w:val="en-US" w:eastAsia="zh-CN"/>
              </w:rPr>
              <w:t>采样废气平均排放速率进行计算，根据企业提供相关工艺生产时间计算：</w:t>
            </w:r>
          </w:p>
          <w:p>
            <w:pPr>
              <w:widowControl w:val="0"/>
              <w:adjustRightInd/>
              <w:snapToGrid/>
              <w:spacing w:after="0" w:line="336" w:lineRule="auto"/>
              <w:ind w:firstLine="480" w:firstLineChars="200"/>
              <w:jc w:val="both"/>
              <w:rPr>
                <w:rFonts w:hint="default" w:ascii="Times New Roman" w:hAnsi="Times New Roman" w:eastAsia="宋体" w:cs="Times New Roman"/>
                <w:bCs/>
                <w:color w:val="auto"/>
                <w:kern w:val="2"/>
                <w:sz w:val="24"/>
                <w:szCs w:val="24"/>
                <w:lang w:val="en-US" w:eastAsia="zh-CN"/>
              </w:rPr>
            </w:pP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bCs/>
                <w:color w:val="auto"/>
                <w:kern w:val="2"/>
                <w:sz w:val="24"/>
                <w:szCs w:val="24"/>
                <w:lang w:val="en-US" w:eastAsia="zh-CN"/>
              </w:rPr>
              <w:t>非甲烷总烃</w:t>
            </w: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i w:val="0"/>
                <w:iCs w:val="0"/>
                <w:color w:val="auto"/>
                <w:sz w:val="24"/>
                <w:szCs w:val="24"/>
                <w:lang w:val="en-US" w:eastAsia="zh-CN"/>
              </w:rPr>
              <w:t>浸漆晾干废气</w:t>
            </w:r>
            <w:r>
              <w:rPr>
                <w:rFonts w:hint="default" w:ascii="Times New Roman" w:hAnsi="Times New Roman" w:eastAsia="宋体" w:cs="Times New Roman"/>
                <w:bCs/>
                <w:color w:val="auto"/>
                <w:kern w:val="2"/>
                <w:sz w:val="24"/>
                <w:szCs w:val="24"/>
                <w:lang w:val="en-US" w:eastAsia="zh-CN"/>
              </w:rPr>
              <w:t>非甲烷总烃</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w:t>
            </w: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bCs/>
                <w:color w:val="auto"/>
                <w:kern w:val="2"/>
                <w:sz w:val="24"/>
                <w:szCs w:val="24"/>
                <w:lang w:val="en-US" w:eastAsia="zh-CN"/>
              </w:rPr>
              <w:t>固化废气非甲烷总烃</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=0.1445kg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2</w:t>
            </w:r>
            <w:r>
              <w:rPr>
                <w:rFonts w:hint="eastAsia" w:ascii="Times New Roman" w:hAnsi="Times New Roman" w:eastAsia="宋体" w:cs="Times New Roman"/>
                <w:bCs/>
                <w:color w:val="auto"/>
                <w:kern w:val="2"/>
                <w:sz w:val="24"/>
                <w:szCs w:val="24"/>
                <w:lang w:val="en-US" w:eastAsia="zh-CN"/>
              </w:rPr>
              <w:t>0</w:t>
            </w:r>
            <w:r>
              <w:rPr>
                <w:rFonts w:hint="default" w:ascii="Times New Roman" w:hAnsi="Times New Roman" w:eastAsia="宋体" w:cs="Times New Roman"/>
                <w:bCs/>
                <w:color w:val="auto"/>
                <w:kern w:val="2"/>
                <w:sz w:val="24"/>
                <w:szCs w:val="24"/>
                <w:lang w:val="en-US" w:eastAsia="zh-CN"/>
              </w:rPr>
              <w:t>00h+0.0077kg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10</w:t>
            </w:r>
            <w:r>
              <w:rPr>
                <w:rFonts w:hint="default" w:ascii="Times New Roman" w:hAnsi="Times New Roman" w:eastAsia="宋体" w:cs="Times New Roman"/>
                <w:bCs/>
                <w:color w:val="auto"/>
                <w:kern w:val="2"/>
                <w:sz w:val="24"/>
                <w:szCs w:val="24"/>
                <w:lang w:val="en-US" w:eastAsia="zh-CN"/>
              </w:rPr>
              <w:t>00h</w:t>
            </w:r>
            <w:r>
              <w:rPr>
                <w:rFonts w:hint="default" w:ascii="Times New Roman" w:hAnsi="Times New Roman" w:eastAsia="宋体" w:cs="Times New Roman"/>
                <w:bCs/>
                <w:color w:val="auto"/>
                <w:kern w:val="2"/>
                <w:sz w:val="24"/>
                <w:szCs w:val="24"/>
              </w:rPr>
              <w:t>=0.</w:t>
            </w:r>
            <w:r>
              <w:rPr>
                <w:rFonts w:hint="eastAsia" w:ascii="Times New Roman" w:hAnsi="Times New Roman" w:eastAsia="宋体" w:cs="Times New Roman"/>
                <w:bCs/>
                <w:color w:val="auto"/>
                <w:kern w:val="2"/>
                <w:sz w:val="24"/>
                <w:szCs w:val="24"/>
                <w:lang w:val="en-US" w:eastAsia="zh-CN"/>
              </w:rPr>
              <w:t>2967</w:t>
            </w:r>
            <w:r>
              <w:rPr>
                <w:rFonts w:hint="default" w:ascii="Times New Roman" w:hAnsi="Times New Roman" w:eastAsia="宋体" w:cs="Times New Roman"/>
                <w:bCs/>
                <w:color w:val="auto"/>
                <w:kern w:val="2"/>
                <w:sz w:val="24"/>
                <w:szCs w:val="24"/>
              </w:rPr>
              <w:t>t/a；</w:t>
            </w:r>
          </w:p>
          <w:p>
            <w:pPr>
              <w:widowControl w:val="0"/>
              <w:adjustRightInd/>
              <w:snapToGrid/>
              <w:spacing w:after="0" w:line="336" w:lineRule="auto"/>
              <w:ind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bCs/>
                <w:color w:val="auto"/>
                <w:kern w:val="2"/>
                <w:sz w:val="24"/>
                <w:szCs w:val="24"/>
                <w:lang w:val="en-US" w:eastAsia="zh-CN"/>
              </w:rPr>
              <w:t>颗粒物</w:t>
            </w: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i w:val="0"/>
                <w:iCs w:val="0"/>
                <w:color w:val="auto"/>
                <w:kern w:val="2"/>
                <w:sz w:val="24"/>
                <w:szCs w:val="24"/>
                <w:lang w:val="en-US" w:eastAsia="zh-CN" w:bidi="ar-SA"/>
              </w:rPr>
              <w:t>喷塑废气</w:t>
            </w:r>
            <w:r>
              <w:rPr>
                <w:rFonts w:hint="default" w:ascii="Times New Roman" w:hAnsi="Times New Roman" w:eastAsia="宋体" w:cs="Times New Roman"/>
                <w:bCs/>
                <w:color w:val="auto"/>
                <w:kern w:val="2"/>
                <w:sz w:val="24"/>
                <w:szCs w:val="24"/>
                <w:lang w:val="en-US" w:eastAsia="zh-CN"/>
              </w:rPr>
              <w:t>颗粒物</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w:t>
            </w:r>
            <w:r>
              <w:rPr>
                <w:rFonts w:hint="default" w:ascii="Times New Roman" w:hAnsi="Times New Roman" w:eastAsia="宋体" w:cs="Times New Roman"/>
                <w:bCs/>
                <w:color w:val="auto"/>
                <w:kern w:val="2"/>
                <w:sz w:val="24"/>
                <w:szCs w:val="24"/>
              </w:rPr>
              <w:t>P总量（</w:t>
            </w:r>
            <w:r>
              <w:rPr>
                <w:rFonts w:hint="default" w:ascii="Times New Roman" w:hAnsi="Times New Roman" w:eastAsia="宋体" w:cs="Times New Roman"/>
                <w:bCs/>
                <w:color w:val="auto"/>
                <w:kern w:val="2"/>
                <w:sz w:val="24"/>
                <w:szCs w:val="24"/>
                <w:lang w:val="en-US" w:eastAsia="zh-CN"/>
              </w:rPr>
              <w:t>固化废气</w:t>
            </w:r>
            <w:r>
              <w:rPr>
                <w:rFonts w:hint="eastAsia" w:ascii="Times New Roman" w:hAnsi="Times New Roman" w:eastAsia="宋体" w:cs="Times New Roman"/>
                <w:bCs/>
                <w:color w:val="auto"/>
                <w:kern w:val="2"/>
                <w:sz w:val="24"/>
                <w:szCs w:val="24"/>
                <w:lang w:val="en-US" w:eastAsia="zh-CN"/>
              </w:rPr>
              <w:t>颗粒物</w:t>
            </w:r>
            <w:r>
              <w:rPr>
                <w:rFonts w:hint="default" w:ascii="Times New Roman" w:hAnsi="Times New Roman" w:eastAsia="宋体" w:cs="Times New Roman"/>
                <w:bCs/>
                <w:color w:val="auto"/>
                <w:kern w:val="2"/>
                <w:sz w:val="24"/>
                <w:szCs w:val="24"/>
              </w:rPr>
              <w:t>）</w:t>
            </w:r>
          </w:p>
          <w:p>
            <w:pPr>
              <w:widowControl w:val="0"/>
              <w:adjustRightInd/>
              <w:snapToGrid/>
              <w:spacing w:after="0" w:line="336" w:lineRule="auto"/>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=0.1423kg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10</w:t>
            </w:r>
            <w:r>
              <w:rPr>
                <w:rFonts w:hint="default" w:ascii="Times New Roman" w:hAnsi="Times New Roman" w:eastAsia="宋体" w:cs="Times New Roman"/>
                <w:bCs/>
                <w:color w:val="auto"/>
                <w:kern w:val="2"/>
                <w:sz w:val="24"/>
                <w:szCs w:val="24"/>
                <w:lang w:val="en-US" w:eastAsia="zh-CN"/>
              </w:rPr>
              <w:t>00h+0.0053kg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10</w:t>
            </w:r>
            <w:r>
              <w:rPr>
                <w:rFonts w:hint="default" w:ascii="Times New Roman" w:hAnsi="Times New Roman" w:eastAsia="宋体" w:cs="Times New Roman"/>
                <w:bCs/>
                <w:color w:val="auto"/>
                <w:kern w:val="2"/>
                <w:sz w:val="24"/>
                <w:szCs w:val="24"/>
                <w:lang w:val="en-US" w:eastAsia="zh-CN"/>
              </w:rPr>
              <w:t>00h</w:t>
            </w:r>
            <w:r>
              <w:rPr>
                <w:rFonts w:hint="default" w:ascii="Times New Roman" w:hAnsi="Times New Roman" w:eastAsia="宋体" w:cs="Times New Roman"/>
                <w:bCs/>
                <w:color w:val="auto"/>
                <w:kern w:val="2"/>
                <w:sz w:val="24"/>
                <w:szCs w:val="24"/>
              </w:rPr>
              <w:t>=0.</w:t>
            </w:r>
            <w:r>
              <w:rPr>
                <w:rFonts w:hint="eastAsia" w:ascii="Times New Roman" w:hAnsi="Times New Roman" w:eastAsia="宋体" w:cs="Times New Roman"/>
                <w:bCs/>
                <w:color w:val="auto"/>
                <w:kern w:val="2"/>
                <w:sz w:val="24"/>
                <w:szCs w:val="24"/>
                <w:lang w:val="en-US" w:eastAsia="zh-CN"/>
              </w:rPr>
              <w:t>1476</w:t>
            </w:r>
            <w:r>
              <w:rPr>
                <w:rFonts w:hint="default" w:ascii="Times New Roman" w:hAnsi="Times New Roman" w:eastAsia="宋体" w:cs="Times New Roman"/>
                <w:bCs/>
                <w:color w:val="auto"/>
                <w:kern w:val="2"/>
                <w:sz w:val="24"/>
                <w:szCs w:val="24"/>
              </w:rPr>
              <w:t>t/a；</w:t>
            </w:r>
          </w:p>
          <w:p>
            <w:pPr>
              <w:pStyle w:val="2"/>
              <w:rPr>
                <w:rFonts w:hint="default" w:eastAsia="宋体"/>
                <w:lang w:val="en-US" w:eastAsia="zh-CN"/>
              </w:rPr>
            </w:pPr>
            <w:r>
              <w:rPr>
                <w:rFonts w:hint="eastAsia" w:eastAsia="宋体"/>
                <w:lang w:val="en-US" w:eastAsia="zh-CN"/>
              </w:rPr>
              <w:t>备注：环评中未对浸漆晾干废气中的颗粒物进行定量计算，因此浸漆晾干废气中的颗粒物未计算进总量。</w:t>
            </w:r>
          </w:p>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val="en-US" w:eastAsia="zh-CN"/>
              </w:rPr>
            </w:pPr>
            <w:r>
              <w:rPr>
                <w:rFonts w:hint="default" w:ascii="Times New Roman" w:hAnsi="Times New Roman" w:eastAsia="宋体" w:cs="Times New Roman"/>
                <w:bCs/>
                <w:color w:val="auto"/>
                <w:kern w:val="2"/>
                <w:sz w:val="24"/>
                <w:szCs w:val="24"/>
              </w:rPr>
              <w:t>P总量（</w:t>
            </w:r>
            <w:r>
              <w:rPr>
                <w:rFonts w:hint="eastAsia" w:ascii="Times New Roman" w:hAnsi="Times New Roman" w:eastAsia="宋体" w:cs="Times New Roman"/>
                <w:bCs/>
                <w:color w:val="auto"/>
                <w:kern w:val="2"/>
                <w:sz w:val="24"/>
                <w:szCs w:val="24"/>
                <w:lang w:val="en-US" w:eastAsia="zh-CN"/>
              </w:rPr>
              <w:t>氮氧化物</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w:t>
            </w:r>
            <w:r>
              <w:rPr>
                <w:rFonts w:hint="default" w:ascii="Times New Roman" w:hAnsi="Times New Roman" w:eastAsia="宋体" w:cs="Times New Roman"/>
                <w:bCs/>
                <w:color w:val="auto"/>
                <w:kern w:val="2"/>
                <w:sz w:val="24"/>
                <w:szCs w:val="24"/>
                <w:lang w:val="en-US" w:eastAsia="zh-CN"/>
              </w:rPr>
              <w:t>0.00</w:t>
            </w:r>
            <w:r>
              <w:rPr>
                <w:rFonts w:hint="eastAsia" w:ascii="Times New Roman" w:hAnsi="Times New Roman" w:eastAsia="宋体" w:cs="Times New Roman"/>
                <w:bCs/>
                <w:color w:val="auto"/>
                <w:kern w:val="2"/>
                <w:sz w:val="24"/>
                <w:szCs w:val="24"/>
                <w:lang w:val="en-US" w:eastAsia="zh-CN"/>
              </w:rPr>
              <w:t>17</w:t>
            </w:r>
            <w:r>
              <w:rPr>
                <w:rFonts w:hint="default" w:ascii="Times New Roman" w:hAnsi="Times New Roman" w:eastAsia="宋体" w:cs="Times New Roman"/>
                <w:bCs/>
                <w:color w:val="auto"/>
                <w:kern w:val="2"/>
                <w:sz w:val="24"/>
                <w:szCs w:val="24"/>
                <w:lang w:val="en-US" w:eastAsia="zh-CN"/>
              </w:rPr>
              <w:t>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10</w:t>
            </w:r>
            <w:r>
              <w:rPr>
                <w:rFonts w:hint="default" w:ascii="Times New Roman" w:hAnsi="Times New Roman" w:eastAsia="宋体" w:cs="Times New Roman"/>
                <w:bCs/>
                <w:color w:val="auto"/>
                <w:kern w:val="2"/>
                <w:sz w:val="24"/>
                <w:szCs w:val="24"/>
                <w:lang w:val="en-US" w:eastAsia="zh-CN"/>
              </w:rPr>
              <w:t>00h</w:t>
            </w:r>
            <w:r>
              <w:rPr>
                <w:rFonts w:hint="default" w:ascii="Times New Roman" w:hAnsi="Times New Roman" w:eastAsia="宋体" w:cs="Times New Roman"/>
                <w:bCs/>
                <w:color w:val="auto"/>
                <w:kern w:val="2"/>
                <w:sz w:val="24"/>
                <w:szCs w:val="24"/>
              </w:rPr>
              <w:t>=0.</w:t>
            </w:r>
            <w:r>
              <w:rPr>
                <w:rFonts w:hint="eastAsia" w:ascii="Times New Roman" w:hAnsi="Times New Roman" w:eastAsia="宋体" w:cs="Times New Roman"/>
                <w:bCs/>
                <w:color w:val="auto"/>
                <w:kern w:val="2"/>
                <w:sz w:val="24"/>
                <w:szCs w:val="24"/>
                <w:lang w:val="en-US" w:eastAsia="zh-CN"/>
              </w:rPr>
              <w:t>0017</w:t>
            </w:r>
            <w:r>
              <w:rPr>
                <w:rFonts w:hint="default" w:ascii="Times New Roman" w:hAnsi="Times New Roman" w:eastAsia="宋体" w:cs="Times New Roman"/>
                <w:bCs/>
                <w:color w:val="auto"/>
                <w:kern w:val="2"/>
                <w:sz w:val="24"/>
                <w:szCs w:val="24"/>
              </w:rPr>
              <w:t>t/a；</w:t>
            </w:r>
          </w:p>
          <w:p>
            <w:pPr>
              <w:widowControl w:val="0"/>
              <w:adjustRightInd/>
              <w:snapToGrid/>
              <w:spacing w:after="0" w:line="336" w:lineRule="auto"/>
              <w:ind w:firstLine="480" w:firstLineChars="200"/>
              <w:jc w:val="both"/>
              <w:rPr>
                <w:rFonts w:hint="eastAsia" w:ascii="Times New Roman" w:hAnsi="Times New Roman" w:eastAsia="宋体"/>
                <w:bCs/>
                <w:color w:val="auto"/>
                <w:kern w:val="2"/>
                <w:sz w:val="24"/>
                <w:szCs w:val="24"/>
                <w:lang w:val="en-US" w:eastAsia="zh-CN"/>
              </w:rPr>
            </w:pPr>
            <w:r>
              <w:rPr>
                <w:rFonts w:hint="default" w:ascii="Times New Roman" w:hAnsi="Times New Roman" w:eastAsia="宋体" w:cs="Times New Roman"/>
                <w:bCs/>
                <w:color w:val="auto"/>
                <w:kern w:val="2"/>
                <w:sz w:val="24"/>
                <w:szCs w:val="24"/>
              </w:rPr>
              <w:t>P总量（</w:t>
            </w:r>
            <w:r>
              <w:rPr>
                <w:rFonts w:hint="eastAsia" w:ascii="Times New Roman" w:hAnsi="Times New Roman" w:eastAsia="宋体" w:cs="Times New Roman"/>
                <w:bCs/>
                <w:color w:val="auto"/>
                <w:kern w:val="2"/>
                <w:sz w:val="24"/>
                <w:szCs w:val="24"/>
                <w:lang w:val="en-US" w:eastAsia="zh-CN"/>
              </w:rPr>
              <w:t>二氧化硫</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w:t>
            </w:r>
            <w:r>
              <w:rPr>
                <w:rFonts w:hint="default" w:ascii="Times New Roman" w:hAnsi="Times New Roman" w:eastAsia="宋体" w:cs="Times New Roman"/>
                <w:bCs/>
                <w:color w:val="auto"/>
                <w:kern w:val="2"/>
                <w:sz w:val="24"/>
                <w:szCs w:val="24"/>
                <w:lang w:val="en-US" w:eastAsia="zh-CN"/>
              </w:rPr>
              <w:t>0.00</w:t>
            </w:r>
            <w:r>
              <w:rPr>
                <w:rFonts w:hint="eastAsia" w:ascii="Times New Roman" w:hAnsi="Times New Roman" w:eastAsia="宋体" w:cs="Times New Roman"/>
                <w:bCs/>
                <w:color w:val="auto"/>
                <w:kern w:val="2"/>
                <w:sz w:val="24"/>
                <w:szCs w:val="24"/>
                <w:lang w:val="en-US" w:eastAsia="zh-CN"/>
              </w:rPr>
              <w:t>17</w:t>
            </w:r>
            <w:r>
              <w:rPr>
                <w:rFonts w:hint="default" w:ascii="Times New Roman" w:hAnsi="Times New Roman" w:eastAsia="宋体" w:cs="Times New Roman"/>
                <w:bCs/>
                <w:color w:val="auto"/>
                <w:kern w:val="2"/>
                <w:sz w:val="24"/>
                <w:szCs w:val="24"/>
                <w:lang w:val="en-US" w:eastAsia="zh-CN"/>
              </w:rPr>
              <w:t>kg</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h</w:t>
            </w:r>
            <w:r>
              <w:rPr>
                <w:rFonts w:hint="default"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10</w:t>
            </w:r>
            <w:r>
              <w:rPr>
                <w:rFonts w:hint="default" w:ascii="Times New Roman" w:hAnsi="Times New Roman" w:eastAsia="宋体" w:cs="Times New Roman"/>
                <w:bCs/>
                <w:color w:val="auto"/>
                <w:kern w:val="2"/>
                <w:sz w:val="24"/>
                <w:szCs w:val="24"/>
                <w:lang w:val="en-US" w:eastAsia="zh-CN"/>
              </w:rPr>
              <w:t>00h</w:t>
            </w:r>
            <w:r>
              <w:rPr>
                <w:rFonts w:hint="default" w:ascii="Times New Roman" w:hAnsi="Times New Roman" w:eastAsia="宋体" w:cs="Times New Roman"/>
                <w:bCs/>
                <w:color w:val="auto"/>
                <w:kern w:val="2"/>
                <w:sz w:val="24"/>
                <w:szCs w:val="24"/>
              </w:rPr>
              <w:t>=0.</w:t>
            </w:r>
            <w:r>
              <w:rPr>
                <w:rFonts w:hint="eastAsia" w:ascii="Times New Roman" w:hAnsi="Times New Roman" w:eastAsia="宋体" w:cs="Times New Roman"/>
                <w:bCs/>
                <w:color w:val="auto"/>
                <w:kern w:val="2"/>
                <w:sz w:val="24"/>
                <w:szCs w:val="24"/>
                <w:lang w:val="en-US" w:eastAsia="zh-CN"/>
              </w:rPr>
              <w:t>0017</w:t>
            </w:r>
            <w:r>
              <w:rPr>
                <w:rFonts w:hint="default" w:ascii="Times New Roman" w:hAnsi="Times New Roman" w:eastAsia="宋体" w:cs="Times New Roman"/>
                <w:bCs/>
                <w:color w:val="auto"/>
                <w:kern w:val="2"/>
                <w:sz w:val="24"/>
                <w:szCs w:val="24"/>
              </w:rPr>
              <w:t>t/a</w:t>
            </w:r>
            <w:r>
              <w:rPr>
                <w:rFonts w:hint="eastAsia" w:ascii="Times New Roman" w:hAnsi="Times New Roman" w:eastAsia="宋体" w:cs="Times New Roman"/>
                <w:bCs/>
                <w:color w:val="auto"/>
                <w:kern w:val="2"/>
                <w:sz w:val="24"/>
                <w:szCs w:val="24"/>
                <w:lang w:eastAsia="zh-CN"/>
              </w:rPr>
              <w:t>。</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本次验收</w:t>
            </w:r>
            <w:r>
              <w:rPr>
                <w:rFonts w:hint="eastAsia" w:ascii="Times New Roman" w:hAnsi="Times New Roman" w:eastAsia="宋体"/>
                <w:bCs/>
                <w:color w:val="auto"/>
                <w:kern w:val="2"/>
                <w:sz w:val="24"/>
                <w:szCs w:val="24"/>
                <w:lang w:val="en-US" w:eastAsia="zh-CN"/>
              </w:rPr>
              <w:t>废水</w:t>
            </w:r>
            <w:r>
              <w:rPr>
                <w:rFonts w:ascii="Times New Roman" w:hAnsi="Times New Roman" w:eastAsia="宋体"/>
                <w:bCs/>
                <w:color w:val="auto"/>
                <w:kern w:val="2"/>
                <w:sz w:val="24"/>
                <w:szCs w:val="24"/>
              </w:rPr>
              <w:t>总量计算采用污水处理厂出水标准进行计算</w:t>
            </w:r>
            <w:r>
              <w:rPr>
                <w:rFonts w:hint="eastAsia" w:ascii="Times New Roman" w:hAnsi="Times New Roman" w:eastAsia="宋体"/>
                <w:bCs/>
                <w:color w:val="auto"/>
                <w:kern w:val="2"/>
                <w:sz w:val="24"/>
                <w:szCs w:val="24"/>
              </w:rPr>
              <w:t>，</w:t>
            </w:r>
            <w:r>
              <w:rPr>
                <w:rFonts w:ascii="Times New Roman" w:hAnsi="Times New Roman" w:eastAsia="宋体"/>
                <w:bCs/>
                <w:color w:val="auto"/>
                <w:kern w:val="2"/>
                <w:sz w:val="24"/>
                <w:szCs w:val="24"/>
              </w:rPr>
              <w:t>根据企业提供信息及水平衡，企业外排</w:t>
            </w:r>
            <w:r>
              <w:rPr>
                <w:rFonts w:hint="eastAsia" w:ascii="Times New Roman" w:hAnsi="Times New Roman" w:eastAsia="宋体"/>
                <w:bCs/>
                <w:color w:val="auto"/>
                <w:kern w:val="2"/>
                <w:sz w:val="24"/>
                <w:szCs w:val="24"/>
              </w:rPr>
              <w:t>生产</w:t>
            </w:r>
            <w:r>
              <w:rPr>
                <w:rFonts w:ascii="Times New Roman" w:hAnsi="Times New Roman" w:eastAsia="宋体"/>
                <w:bCs/>
                <w:color w:val="auto"/>
                <w:kern w:val="2"/>
                <w:sz w:val="24"/>
                <w:szCs w:val="24"/>
              </w:rPr>
              <w:t>废水量为</w:t>
            </w:r>
            <w:r>
              <w:rPr>
                <w:rFonts w:hint="eastAsia" w:ascii="Times New Roman" w:hAnsi="Times New Roman" w:eastAsia="宋体"/>
                <w:bCs/>
                <w:color w:val="auto"/>
                <w:kern w:val="2"/>
                <w:sz w:val="24"/>
                <w:szCs w:val="24"/>
                <w:lang w:val="en-US" w:eastAsia="zh-CN"/>
              </w:rPr>
              <w:t>2207.1</w:t>
            </w:r>
            <w:r>
              <w:rPr>
                <w:rFonts w:hint="eastAsia" w:ascii="Times New Roman" w:hAnsi="Times New Roman" w:eastAsia="宋体"/>
                <w:bCs/>
                <w:color w:val="auto"/>
                <w:kern w:val="2"/>
                <w:sz w:val="24"/>
                <w:szCs w:val="24"/>
              </w:rPr>
              <w:t>m</w:t>
            </w:r>
            <w:r>
              <w:rPr>
                <w:rFonts w:hint="eastAsia" w:ascii="Times New Roman" w:hAnsi="Times New Roman" w:eastAsia="宋体"/>
                <w:bCs/>
                <w:color w:val="auto"/>
                <w:kern w:val="2"/>
                <w:sz w:val="24"/>
                <w:szCs w:val="24"/>
                <w:vertAlign w:val="superscript"/>
              </w:rPr>
              <w:t>3</w:t>
            </w:r>
            <w:r>
              <w:rPr>
                <w:rFonts w:hint="eastAsia" w:ascii="Times New Roman" w:hAnsi="Times New Roman" w:eastAsia="宋体"/>
                <w:bCs/>
                <w:color w:val="auto"/>
                <w:kern w:val="2"/>
                <w:sz w:val="24"/>
                <w:szCs w:val="24"/>
              </w:rPr>
              <w:t>/a</w:t>
            </w:r>
            <w:r>
              <w:rPr>
                <w:rFonts w:ascii="Times New Roman" w:hAnsi="Times New Roman" w:eastAsia="宋体"/>
                <w:bCs/>
                <w:color w:val="auto"/>
                <w:kern w:val="2"/>
                <w:sz w:val="24"/>
                <w:szCs w:val="24"/>
              </w:rPr>
              <w:t>，则：</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P总量（COD）=</w:t>
            </w:r>
            <w:r>
              <w:rPr>
                <w:rFonts w:hint="eastAsia" w:ascii="Times New Roman" w:hAnsi="Times New Roman" w:eastAsia="宋体"/>
                <w:bCs/>
                <w:color w:val="auto"/>
                <w:kern w:val="2"/>
                <w:sz w:val="24"/>
                <w:szCs w:val="24"/>
                <w:lang w:val="en-US" w:eastAsia="zh-CN"/>
              </w:rPr>
              <w:t>40</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2207.1</w:t>
            </w:r>
            <w:r>
              <w:rPr>
                <w:rFonts w:ascii="Times New Roman" w:hAnsi="Times New Roman" w:eastAsia="宋体"/>
                <w:bCs/>
                <w:color w:val="auto"/>
                <w:kern w:val="2"/>
                <w:sz w:val="24"/>
                <w:szCs w:val="24"/>
              </w:rPr>
              <w:t>m³=0.</w:t>
            </w:r>
            <w:r>
              <w:rPr>
                <w:rFonts w:hint="eastAsia" w:ascii="Times New Roman" w:hAnsi="Times New Roman" w:eastAsia="宋体"/>
                <w:bCs/>
                <w:color w:val="auto"/>
                <w:kern w:val="2"/>
                <w:sz w:val="24"/>
                <w:szCs w:val="24"/>
                <w:lang w:val="en-US" w:eastAsia="zh-CN"/>
              </w:rPr>
              <w:t>088</w:t>
            </w:r>
            <w:r>
              <w:rPr>
                <w:rFonts w:ascii="Times New Roman" w:hAnsi="Times New Roman" w:eastAsia="宋体"/>
                <w:bCs/>
                <w:color w:val="auto"/>
                <w:kern w:val="2"/>
                <w:sz w:val="24"/>
                <w:szCs w:val="24"/>
              </w:rPr>
              <w:t>t/a；</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P总量（</w:t>
            </w:r>
            <w:r>
              <w:rPr>
                <w:rFonts w:hint="eastAsia" w:ascii="Times New Roman" w:hAnsi="Times New Roman" w:eastAsia="宋体"/>
                <w:bCs/>
                <w:color w:val="auto"/>
                <w:kern w:val="2"/>
                <w:sz w:val="24"/>
                <w:szCs w:val="24"/>
              </w:rPr>
              <w:t>氨氮</w:t>
            </w:r>
            <w:r>
              <w:rPr>
                <w:rFonts w:ascii="Times New Roman" w:hAnsi="Times New Roman" w:eastAsia="宋体"/>
                <w:bCs/>
                <w:color w:val="auto"/>
                <w:kern w:val="2"/>
                <w:sz w:val="24"/>
                <w:szCs w:val="24"/>
              </w:rPr>
              <w:t>）=</w:t>
            </w:r>
            <w:r>
              <w:rPr>
                <w:rFonts w:hint="eastAsia" w:ascii="Times New Roman" w:hAnsi="Times New Roman" w:eastAsia="宋体"/>
                <w:bCs/>
                <w:color w:val="auto"/>
                <w:kern w:val="2"/>
                <w:sz w:val="24"/>
                <w:szCs w:val="24"/>
                <w:lang w:val="en-US" w:eastAsia="zh-CN"/>
              </w:rPr>
              <w:t>2</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2207.</w:t>
            </w:r>
            <w:r>
              <w:rPr>
                <w:rFonts w:hint="eastAsia" w:ascii="Times New Roman" w:hAnsi="Times New Roman" w:eastAsia="宋体" w:cs="Times New Roman"/>
                <w:bCs/>
                <w:color w:val="auto"/>
                <w:kern w:val="2"/>
                <w:sz w:val="24"/>
                <w:szCs w:val="24"/>
                <w:lang w:val="en-US" w:eastAsia="zh-CN"/>
              </w:rPr>
              <w:t>1m³=0.0044t/a</w:t>
            </w:r>
            <w:r>
              <w:rPr>
                <w:rFonts w:ascii="Times New Roman" w:hAnsi="Times New Roman" w:eastAsia="宋体"/>
                <w:bCs/>
                <w:color w:val="auto"/>
                <w:kern w:val="2"/>
                <w:sz w:val="24"/>
                <w:szCs w:val="24"/>
              </w:rPr>
              <w:t>；</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本次验收污染物排放总量分别为：</w:t>
            </w:r>
            <w:r>
              <w:rPr>
                <w:rFonts w:hint="eastAsia" w:ascii="Times New Roman" w:hAnsi="Times New Roman" w:eastAsia="宋体"/>
                <w:bCs/>
                <w:color w:val="auto"/>
                <w:kern w:val="2"/>
                <w:sz w:val="24"/>
                <w:szCs w:val="24"/>
                <w:lang w:val="en-US" w:eastAsia="zh-CN"/>
              </w:rPr>
              <w:t>非甲烷总烃0.42308t/a，颗粒物0.37588t/a，氮氧化物0.00408t/a，二氧化硫0.00408t/a，</w:t>
            </w:r>
            <w:r>
              <w:rPr>
                <w:rFonts w:ascii="Times New Roman" w:hAnsi="Times New Roman" w:eastAsia="宋体"/>
                <w:bCs/>
                <w:color w:val="auto"/>
                <w:kern w:val="2"/>
                <w:sz w:val="24"/>
                <w:szCs w:val="24"/>
              </w:rPr>
              <w:t>COD0.</w:t>
            </w:r>
            <w:r>
              <w:rPr>
                <w:rFonts w:hint="eastAsia" w:ascii="Times New Roman" w:hAnsi="Times New Roman" w:eastAsia="宋体"/>
                <w:bCs/>
                <w:color w:val="auto"/>
                <w:kern w:val="2"/>
                <w:sz w:val="24"/>
                <w:szCs w:val="24"/>
                <w:lang w:val="en-US" w:eastAsia="zh-CN"/>
              </w:rPr>
              <w:t>088</w:t>
            </w:r>
            <w:r>
              <w:rPr>
                <w:rFonts w:ascii="Times New Roman" w:hAnsi="Times New Roman" w:eastAsia="宋体"/>
                <w:bCs/>
                <w:color w:val="auto"/>
                <w:kern w:val="2"/>
                <w:sz w:val="24"/>
                <w:szCs w:val="24"/>
              </w:rPr>
              <w:t>t/a，氨氮0.0</w:t>
            </w:r>
            <w:r>
              <w:rPr>
                <w:rFonts w:hint="eastAsia" w:ascii="Times New Roman" w:hAnsi="Times New Roman" w:eastAsia="宋体"/>
                <w:bCs/>
                <w:color w:val="auto"/>
                <w:kern w:val="2"/>
                <w:sz w:val="24"/>
                <w:szCs w:val="24"/>
                <w:lang w:val="en-US" w:eastAsia="zh-CN"/>
              </w:rPr>
              <w:t>044</w:t>
            </w:r>
            <w:r>
              <w:rPr>
                <w:rFonts w:ascii="Times New Roman" w:hAnsi="Times New Roman" w:eastAsia="宋体"/>
                <w:bCs/>
                <w:color w:val="auto"/>
                <w:kern w:val="2"/>
                <w:sz w:val="24"/>
                <w:szCs w:val="24"/>
              </w:rPr>
              <w:t>t/a，满足环评总量控制指标：</w:t>
            </w:r>
            <w:r>
              <w:rPr>
                <w:rFonts w:hint="eastAsia" w:ascii="Times New Roman" w:hAnsi="Times New Roman" w:eastAsia="宋体"/>
                <w:bCs/>
                <w:color w:val="auto"/>
                <w:kern w:val="2"/>
                <w:sz w:val="24"/>
                <w:szCs w:val="24"/>
              </w:rPr>
              <w:t>COD0.088t/a，氨氮0.0044t/a，颗粒物0.907t/a，氮氧化物0.094t/a，二氧化硫0.02t/a，VOCs0.45t/a。</w:t>
            </w:r>
          </w:p>
          <w:p>
            <w:pPr>
              <w:widowControl w:val="0"/>
              <w:adjustRightInd/>
              <w:snapToGrid/>
              <w:spacing w:after="0" w:line="336"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本次验收总量控制建议值仅作为参考。企业后续生产过程中，仍须作好总量控制工作。</w:t>
            </w:r>
          </w:p>
          <w:p>
            <w:pPr>
              <w:pStyle w:val="17"/>
            </w:pPr>
          </w:p>
        </w:tc>
      </w:tr>
    </w:tbl>
    <w:p>
      <w:pPr>
        <w:adjustRightInd/>
        <w:snapToGrid/>
        <w:spacing w:after="0" w:line="360" w:lineRule="auto"/>
        <w:rPr>
          <w:rFonts w:ascii="Times New Roman" w:hAnsi="Times New Roman" w:eastAsia="宋体"/>
          <w:b/>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p>
      <w:pPr>
        <w:pStyle w:val="3"/>
        <w:adjustRightInd/>
        <w:snapToGrid/>
        <w:spacing w:before="0" w:after="0"/>
        <w:rPr>
          <w:rFonts w:ascii="Times New Roman" w:hAnsi="Times New Roman" w:eastAsia="宋体"/>
          <w:color w:val="auto"/>
        </w:rPr>
      </w:pPr>
      <w:bookmarkStart w:id="24" w:name="_Toc31374"/>
      <w:bookmarkStart w:id="25" w:name="_Toc25887"/>
      <w:r>
        <w:rPr>
          <w:rFonts w:ascii="Times New Roman" w:hAnsi="Times New Roman" w:eastAsia="宋体"/>
          <w:color w:val="auto"/>
        </w:rPr>
        <w:t>表八</w:t>
      </w:r>
      <w:bookmarkEnd w:id="24"/>
      <w:r>
        <w:rPr>
          <w:rFonts w:ascii="Times New Roman" w:hAnsi="Times New Roman" w:eastAsia="宋体"/>
          <w:color w:val="auto"/>
        </w:rPr>
        <w:t>验收监测结论</w:t>
      </w:r>
      <w:bookmarkEnd w:id="25"/>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8" w:hRule="atLeast"/>
          <w:jc w:val="center"/>
        </w:trPr>
        <w:tc>
          <w:tcPr>
            <w:tcW w:w="5000" w:type="pct"/>
            <w:noWrap w:val="0"/>
            <w:vAlign w:val="top"/>
          </w:tcPr>
          <w:p>
            <w:pPr>
              <w:widowControl w:val="0"/>
              <w:adjustRightInd/>
              <w:snapToGrid/>
              <w:spacing w:after="0" w:line="317" w:lineRule="auto"/>
              <w:ind w:firstLine="482" w:firstLineChars="200"/>
              <w:jc w:val="both"/>
              <w:rPr>
                <w:rFonts w:ascii="Times New Roman" w:hAnsi="Times New Roman" w:eastAsia="宋体"/>
                <w:bCs/>
                <w:color w:val="auto"/>
                <w:kern w:val="2"/>
                <w:sz w:val="24"/>
                <w:szCs w:val="24"/>
              </w:rPr>
            </w:pPr>
            <w:r>
              <w:rPr>
                <w:rFonts w:ascii="Times New Roman" w:hAnsi="Times New Roman" w:eastAsia="宋体"/>
                <w:b/>
                <w:color w:val="auto"/>
                <w:kern w:val="2"/>
                <w:sz w:val="24"/>
                <w:szCs w:val="24"/>
              </w:rPr>
              <w:t>1、环境保护执行情况</w:t>
            </w:r>
          </w:p>
          <w:p>
            <w:pPr>
              <w:widowControl w:val="0"/>
              <w:adjustRightInd/>
              <w:snapToGrid/>
              <w:spacing w:after="0" w:line="317" w:lineRule="auto"/>
              <w:ind w:firstLine="480" w:firstLineChars="200"/>
              <w:jc w:val="both"/>
              <w:rPr>
                <w:rFonts w:ascii="Times New Roman" w:hAnsi="Times New Roman" w:eastAsia="宋体"/>
                <w:bCs/>
                <w:color w:val="auto"/>
                <w:kern w:val="2"/>
                <w:sz w:val="24"/>
                <w:szCs w:val="24"/>
              </w:rPr>
            </w:pPr>
            <w:r>
              <w:rPr>
                <w:rFonts w:ascii="Times New Roman" w:hAnsi="Times New Roman" w:eastAsia="宋体"/>
                <w:bCs/>
                <w:color w:val="auto"/>
                <w:kern w:val="2"/>
                <w:sz w:val="24"/>
                <w:szCs w:val="24"/>
              </w:rPr>
              <w:t>项目按照国家有关环境保护的法律、法规进行了环境影响评价，履行了建设项目环境影响审批手续，按照建设项目环境保护</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三同时</w:t>
            </w:r>
            <w:r>
              <w:rPr>
                <w:rFonts w:hint="eastAsia" w:ascii="Times New Roman" w:hAnsi="Times New Roman" w:eastAsia="宋体"/>
                <w:bCs/>
                <w:color w:val="auto"/>
                <w:kern w:val="2"/>
                <w:sz w:val="24"/>
                <w:szCs w:val="24"/>
                <w:lang w:eastAsia="zh-CN"/>
              </w:rPr>
              <w:t>”</w:t>
            </w:r>
            <w:r>
              <w:rPr>
                <w:rFonts w:ascii="Times New Roman" w:hAnsi="Times New Roman" w:eastAsia="宋体"/>
                <w:bCs/>
                <w:color w:val="auto"/>
                <w:kern w:val="2"/>
                <w:sz w:val="24"/>
                <w:szCs w:val="24"/>
              </w:rPr>
              <w:t>的有关要求，落实了相关环保措施。</w:t>
            </w:r>
          </w:p>
          <w:p>
            <w:pPr>
              <w:widowControl w:val="0"/>
              <w:adjustRightInd/>
              <w:snapToGrid/>
              <w:spacing w:after="0" w:line="317"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2、废气监测结论</w:t>
            </w:r>
          </w:p>
          <w:p>
            <w:pPr>
              <w:widowControl w:val="0"/>
              <w:adjustRightInd/>
              <w:snapToGrid/>
              <w:spacing w:after="0" w:line="317"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本项目验收阶段产生的废气包括</w:t>
            </w:r>
            <w:r>
              <w:rPr>
                <w:rFonts w:hint="eastAsia" w:ascii="Times New Roman" w:hAnsi="Times New Roman" w:eastAsia="宋体"/>
                <w:color w:val="auto"/>
                <w:kern w:val="2"/>
                <w:sz w:val="24"/>
                <w:szCs w:val="24"/>
              </w:rPr>
              <w:t>气枪吹尘废气、酸雾废气、喷塑粉尘、固化废气、浸漆及晾干废气</w:t>
            </w:r>
            <w:r>
              <w:rPr>
                <w:rFonts w:hint="eastAsia" w:ascii="Times New Roman" w:hAnsi="Times New Roman" w:eastAsia="宋体"/>
                <w:color w:val="auto"/>
                <w:kern w:val="2"/>
                <w:sz w:val="24"/>
                <w:szCs w:val="24"/>
                <w:lang w:val="en-US" w:eastAsia="zh-CN"/>
              </w:rPr>
              <w:t>和</w:t>
            </w:r>
            <w:r>
              <w:rPr>
                <w:rFonts w:hint="eastAsia" w:ascii="Times New Roman" w:hAnsi="Times New Roman" w:eastAsia="宋体"/>
                <w:color w:val="auto"/>
                <w:kern w:val="2"/>
                <w:sz w:val="24"/>
                <w:szCs w:val="24"/>
              </w:rPr>
              <w:t>燃烧废气</w:t>
            </w:r>
            <w:r>
              <w:rPr>
                <w:rFonts w:ascii="Times New Roman" w:hAnsi="Times New Roman" w:eastAsia="宋体"/>
                <w:color w:val="auto"/>
                <w:kern w:val="2"/>
                <w:sz w:val="24"/>
                <w:szCs w:val="24"/>
              </w:rPr>
              <w:t>。</w:t>
            </w:r>
          </w:p>
          <w:p>
            <w:pPr>
              <w:widowControl w:val="0"/>
              <w:adjustRightInd/>
              <w:snapToGrid/>
              <w:spacing w:after="0" w:line="324" w:lineRule="auto"/>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监测验收期间，</w:t>
            </w:r>
            <w:r>
              <w:rPr>
                <w:rFonts w:hint="eastAsia" w:ascii="Times New Roman" w:hAnsi="Times New Roman" w:eastAsia="宋体" w:cs="Times New Roman"/>
                <w:bCs/>
                <w:color w:val="auto"/>
                <w:kern w:val="2"/>
                <w:sz w:val="24"/>
                <w:lang w:eastAsia="zh-CN"/>
              </w:rPr>
              <w:t>本项目</w:t>
            </w:r>
            <w:r>
              <w:rPr>
                <w:rFonts w:hint="default" w:ascii="Times New Roman" w:hAnsi="Times New Roman" w:eastAsia="宋体" w:cs="Times New Roman"/>
                <w:bCs/>
                <w:color w:val="auto"/>
                <w:kern w:val="2"/>
                <w:sz w:val="24"/>
                <w:lang w:val="en-US" w:eastAsia="zh-CN"/>
              </w:rPr>
              <w:t>酸雾废气排放口氯化氢</w:t>
            </w:r>
            <w:r>
              <w:rPr>
                <w:rFonts w:hint="eastAsia" w:ascii="Times New Roman" w:hAnsi="Times New Roman" w:eastAsia="宋体" w:cs="Times New Roman"/>
                <w:bCs/>
                <w:color w:val="auto"/>
                <w:kern w:val="2"/>
                <w:sz w:val="24"/>
                <w:lang w:val="en-US" w:eastAsia="zh-CN"/>
              </w:rPr>
              <w:t>、</w:t>
            </w:r>
            <w:r>
              <w:rPr>
                <w:rFonts w:hint="default" w:ascii="Times New Roman" w:hAnsi="Times New Roman" w:eastAsia="宋体" w:cs="Times New Roman"/>
                <w:bCs/>
                <w:color w:val="auto"/>
                <w:kern w:val="2"/>
                <w:sz w:val="24"/>
                <w:lang w:val="en-US" w:eastAsia="zh-CN"/>
              </w:rPr>
              <w:t>硫酸雾</w:t>
            </w:r>
            <w:r>
              <w:rPr>
                <w:rFonts w:hint="eastAsia" w:ascii="Times New Roman" w:hAnsi="Times New Roman" w:eastAsia="宋体" w:cs="Times New Roman"/>
                <w:bCs/>
                <w:color w:val="auto"/>
                <w:kern w:val="2"/>
                <w:sz w:val="24"/>
                <w:lang w:eastAsia="zh-CN"/>
              </w:rPr>
              <w:t>排放浓度与排放速率均能够满足《大气污染物综合排放标准》（GB16297-1996）</w:t>
            </w:r>
            <w:r>
              <w:rPr>
                <w:rFonts w:hint="default" w:ascii="Times New Roman" w:hAnsi="Times New Roman" w:eastAsia="宋体" w:cs="Times New Roman"/>
                <w:bCs/>
                <w:color w:val="auto"/>
                <w:kern w:val="2"/>
                <w:sz w:val="24"/>
                <w:lang w:val="en-US" w:eastAsia="zh-CN"/>
              </w:rPr>
              <w:t>表2新污染源大气污染物有组织排放二级限值</w:t>
            </w:r>
            <w:r>
              <w:rPr>
                <w:rFonts w:hint="eastAsia" w:ascii="Times New Roman" w:hAnsi="Times New Roman" w:eastAsia="宋体" w:cs="Times New Roman"/>
                <w:bCs/>
                <w:color w:val="auto"/>
                <w:kern w:val="2"/>
                <w:sz w:val="24"/>
                <w:lang w:val="en-US" w:eastAsia="zh-CN"/>
              </w:rPr>
              <w:t>；</w:t>
            </w:r>
            <w:r>
              <w:rPr>
                <w:rFonts w:hint="default" w:ascii="Times New Roman" w:hAnsi="Times New Roman" w:eastAsia="宋体" w:cs="Times New Roman"/>
                <w:bCs/>
                <w:color w:val="auto"/>
                <w:kern w:val="2"/>
                <w:sz w:val="24"/>
                <w:lang w:val="en-US" w:eastAsia="zh-CN"/>
              </w:rPr>
              <w:t>喷塑废气排放口</w:t>
            </w:r>
            <w:r>
              <w:rPr>
                <w:rFonts w:hint="eastAsia" w:ascii="Times New Roman" w:hAnsi="Times New Roman" w:eastAsia="宋体" w:cs="Times New Roman"/>
                <w:bCs/>
                <w:color w:val="auto"/>
                <w:kern w:val="2"/>
                <w:sz w:val="24"/>
                <w:lang w:val="en-US" w:eastAsia="zh-CN"/>
              </w:rPr>
              <w:t>颗粒物满足</w:t>
            </w:r>
            <w:r>
              <w:rPr>
                <w:rFonts w:hint="default" w:ascii="Times New Roman" w:hAnsi="Times New Roman" w:eastAsia="宋体" w:cs="Times New Roman"/>
                <w:bCs/>
                <w:color w:val="auto"/>
                <w:kern w:val="2"/>
                <w:sz w:val="24"/>
                <w:lang w:val="en-US" w:eastAsia="zh-CN"/>
              </w:rPr>
              <w:t>《工业涂装工序大气污染物排放标准》（DB33/2146-2018）中表1大气污染物排放限值</w:t>
            </w:r>
            <w:r>
              <w:rPr>
                <w:rFonts w:hint="eastAsia" w:ascii="Times New Roman" w:hAnsi="Times New Roman" w:eastAsia="宋体" w:cs="Times New Roman"/>
                <w:bCs/>
                <w:color w:val="auto"/>
                <w:kern w:val="2"/>
                <w:sz w:val="24"/>
                <w:lang w:val="en-US" w:eastAsia="zh-CN"/>
              </w:rPr>
              <w:t>要求；浸漆晾干废气排放口臭气浓度、颗粒物、非甲烷总烃满足</w:t>
            </w:r>
            <w:r>
              <w:rPr>
                <w:rFonts w:hint="default" w:ascii="Times New Roman" w:hAnsi="Times New Roman" w:eastAsia="宋体" w:cs="Times New Roman"/>
                <w:bCs/>
                <w:color w:val="auto"/>
                <w:kern w:val="2"/>
                <w:sz w:val="24"/>
                <w:lang w:val="en-US" w:eastAsia="zh-CN"/>
              </w:rPr>
              <w:t>《工业涂装工序大气污染物排放标准》（DB33/2146-2018）中表1大气污染物排放限值</w:t>
            </w:r>
            <w:r>
              <w:rPr>
                <w:rFonts w:hint="eastAsia" w:ascii="Times New Roman" w:hAnsi="Times New Roman" w:eastAsia="宋体" w:cs="Times New Roman"/>
                <w:bCs/>
                <w:color w:val="auto"/>
                <w:kern w:val="2"/>
                <w:sz w:val="24"/>
                <w:lang w:val="en-US" w:eastAsia="zh-CN"/>
              </w:rPr>
              <w:t>要求；固化废气排放口（含燃烧废气）臭气浓度、颗粒物、非甲烷总烃满足</w:t>
            </w:r>
            <w:r>
              <w:rPr>
                <w:rFonts w:hint="default" w:ascii="Times New Roman" w:hAnsi="Times New Roman" w:eastAsia="宋体" w:cs="Times New Roman"/>
                <w:bCs/>
                <w:color w:val="auto"/>
                <w:kern w:val="2"/>
                <w:sz w:val="24"/>
                <w:lang w:val="en-US" w:eastAsia="zh-CN"/>
              </w:rPr>
              <w:t>《工业涂装工序大气污染物排放标准》（DB33/2146-2018）中表1大气污染物排放限值</w:t>
            </w:r>
            <w:r>
              <w:rPr>
                <w:rFonts w:hint="eastAsia" w:ascii="Times New Roman" w:hAnsi="Times New Roman" w:eastAsia="宋体" w:cs="Times New Roman"/>
                <w:bCs/>
                <w:color w:val="auto"/>
                <w:kern w:val="2"/>
                <w:sz w:val="24"/>
                <w:lang w:val="en-US" w:eastAsia="zh-CN"/>
              </w:rPr>
              <w:t>要求，二氧化硫、氮氧化物满足</w:t>
            </w:r>
            <w:r>
              <w:rPr>
                <w:rFonts w:hint="default" w:ascii="Times New Roman" w:hAnsi="Times New Roman" w:eastAsia="宋体" w:cs="Times New Roman"/>
                <w:bCs/>
                <w:color w:val="auto"/>
                <w:kern w:val="2"/>
                <w:sz w:val="24"/>
                <w:lang w:eastAsia="zh-CN"/>
              </w:rPr>
              <w:t>《工业炉窑大气污染综合治理方案》的通知（环大气[2019]56号）要求</w:t>
            </w:r>
            <w:r>
              <w:rPr>
                <w:rFonts w:hint="eastAsia" w:ascii="Times New Roman" w:hAnsi="Times New Roman" w:eastAsia="宋体" w:cs="Times New Roman"/>
                <w:bCs/>
                <w:color w:val="auto"/>
                <w:kern w:val="2"/>
                <w:sz w:val="24"/>
                <w:lang w:eastAsia="zh-CN"/>
              </w:rPr>
              <w:t>。厂界无组织</w:t>
            </w:r>
            <w:r>
              <w:rPr>
                <w:rFonts w:ascii="Times New Roman" w:hAnsi="Times New Roman" w:eastAsia="宋体"/>
                <w:bCs/>
                <w:color w:val="auto"/>
                <w:kern w:val="2"/>
                <w:sz w:val="24"/>
              </w:rPr>
              <w:t>废气中</w:t>
            </w:r>
            <w:r>
              <w:rPr>
                <w:rFonts w:hint="eastAsia" w:ascii="Times New Roman" w:hAnsi="Times New Roman" w:eastAsia="宋体"/>
                <w:bCs/>
                <w:color w:val="auto"/>
                <w:kern w:val="2"/>
                <w:sz w:val="24"/>
              </w:rPr>
              <w:t>硫酸雾</w:t>
            </w:r>
            <w:r>
              <w:rPr>
                <w:rFonts w:hint="eastAsia" w:ascii="Times New Roman" w:hAnsi="Times New Roman" w:eastAsia="宋体"/>
                <w:bCs/>
                <w:color w:val="auto"/>
                <w:kern w:val="2"/>
                <w:sz w:val="24"/>
                <w:lang w:eastAsia="zh-CN"/>
              </w:rPr>
              <w:t>、</w:t>
            </w:r>
            <w:r>
              <w:rPr>
                <w:rFonts w:hint="eastAsia" w:ascii="Times New Roman" w:hAnsi="Times New Roman" w:eastAsia="宋体"/>
                <w:bCs/>
                <w:color w:val="auto"/>
                <w:kern w:val="2"/>
                <w:sz w:val="24"/>
              </w:rPr>
              <w:t>氯化氢</w:t>
            </w:r>
            <w:r>
              <w:rPr>
                <w:rFonts w:ascii="Times New Roman" w:hAnsi="Times New Roman" w:eastAsia="宋体"/>
                <w:bCs/>
                <w:color w:val="auto"/>
                <w:kern w:val="2"/>
                <w:sz w:val="24"/>
              </w:rPr>
              <w:t>的浓度</w:t>
            </w:r>
            <w:r>
              <w:rPr>
                <w:rFonts w:hint="eastAsia" w:ascii="Times New Roman" w:hAnsi="Times New Roman" w:eastAsia="宋体"/>
                <w:bCs/>
                <w:color w:val="auto"/>
                <w:kern w:val="2"/>
                <w:sz w:val="24"/>
              </w:rPr>
              <w:t>均</w:t>
            </w:r>
            <w:r>
              <w:rPr>
                <w:rFonts w:ascii="Times New Roman" w:hAnsi="Times New Roman" w:eastAsia="宋体"/>
                <w:bCs/>
                <w:color w:val="auto"/>
                <w:kern w:val="2"/>
                <w:sz w:val="24"/>
              </w:rPr>
              <w:t>满足《大气污染物综合排放标准》（GB16297-1996）表2中的无组织排放监控浓度限值</w:t>
            </w:r>
            <w:r>
              <w:rPr>
                <w:rFonts w:hint="eastAsia" w:ascii="Times New Roman" w:hAnsi="Times New Roman" w:eastAsia="宋体"/>
                <w:bCs/>
                <w:color w:val="auto"/>
                <w:kern w:val="2"/>
                <w:sz w:val="24"/>
                <w:lang w:eastAsia="zh-CN"/>
              </w:rPr>
              <w:t>，</w:t>
            </w:r>
            <w:r>
              <w:rPr>
                <w:rFonts w:hint="eastAsia" w:ascii="Times New Roman" w:hAnsi="Times New Roman" w:eastAsia="宋体"/>
                <w:bCs/>
                <w:color w:val="auto"/>
                <w:kern w:val="2"/>
                <w:sz w:val="24"/>
                <w:lang w:val="en-US" w:eastAsia="zh-CN"/>
              </w:rPr>
              <w:t>总悬浮</w:t>
            </w:r>
            <w:r>
              <w:rPr>
                <w:rFonts w:hint="eastAsia" w:ascii="Times New Roman" w:hAnsi="Times New Roman" w:eastAsia="宋体"/>
                <w:bCs/>
                <w:color w:val="auto"/>
                <w:kern w:val="2"/>
                <w:sz w:val="24"/>
                <w:lang w:eastAsia="zh-CN"/>
              </w:rPr>
              <w:t>颗粒物、臭气浓度、非甲烷总</w:t>
            </w:r>
            <w:r>
              <w:rPr>
                <w:rFonts w:hint="eastAsia" w:ascii="Times New Roman" w:hAnsi="Times New Roman" w:eastAsia="宋体" w:cs="Times New Roman"/>
                <w:bCs/>
                <w:color w:val="auto"/>
                <w:kern w:val="2"/>
                <w:sz w:val="24"/>
                <w:lang w:eastAsia="zh-CN"/>
              </w:rPr>
              <w:t>烃</w:t>
            </w:r>
            <w:r>
              <w:rPr>
                <w:rFonts w:ascii="Times New Roman" w:hAnsi="Times New Roman" w:eastAsia="宋体" w:cs="Times New Roman"/>
                <w:bCs/>
                <w:color w:val="auto"/>
                <w:kern w:val="2"/>
                <w:sz w:val="24"/>
              </w:rPr>
              <w:t>满足</w:t>
            </w:r>
            <w:r>
              <w:rPr>
                <w:rFonts w:hint="eastAsia" w:ascii="Times New Roman" w:hAnsi="Times New Roman" w:eastAsia="宋体" w:cs="Times New Roman"/>
                <w:bCs/>
                <w:color w:val="auto"/>
                <w:kern w:val="2"/>
                <w:sz w:val="24"/>
                <w:lang w:eastAsia="zh-CN"/>
              </w:rPr>
              <w:t>《</w:t>
            </w:r>
            <w:r>
              <w:rPr>
                <w:rFonts w:hint="default" w:ascii="Times New Roman" w:hAnsi="Times New Roman" w:eastAsia="宋体" w:cs="Times New Roman"/>
                <w:bCs/>
                <w:color w:val="auto"/>
                <w:kern w:val="2"/>
                <w:sz w:val="24"/>
                <w:lang w:val="en-US" w:eastAsia="zh-CN"/>
              </w:rPr>
              <w:t>工业涂装工序大气污染物排放标准》（DB33/2146-2018）表6企业边界大气污染物浓度限值</w:t>
            </w:r>
            <w:r>
              <w:rPr>
                <w:rFonts w:hint="eastAsia" w:ascii="Times New Roman" w:hAnsi="Times New Roman" w:eastAsia="宋体" w:cs="Times New Roman"/>
                <w:bCs/>
                <w:color w:val="auto"/>
                <w:kern w:val="2"/>
                <w:sz w:val="24"/>
                <w:lang w:eastAsia="zh-CN"/>
              </w:rPr>
              <w:t>；</w:t>
            </w:r>
            <w:r>
              <w:rPr>
                <w:rFonts w:ascii="Times New Roman" w:hAnsi="Times New Roman" w:eastAsia="宋体" w:cs="Times New Roman"/>
                <w:bCs/>
                <w:color w:val="auto"/>
                <w:kern w:val="2"/>
                <w:sz w:val="24"/>
              </w:rPr>
              <w:t>厂房外非甲烷总烃无组织排放浓度满</w:t>
            </w:r>
            <w:r>
              <w:rPr>
                <w:rFonts w:ascii="Times New Roman" w:hAnsi="Times New Roman" w:eastAsia="宋体"/>
                <w:bCs/>
                <w:color w:val="auto"/>
                <w:kern w:val="2"/>
                <w:sz w:val="24"/>
              </w:rPr>
              <w:t>足《挥发性有机物无组织排放控制标准》（GB37822-2019）附录A表A.1规定的特别排放限值。</w:t>
            </w:r>
          </w:p>
          <w:p>
            <w:pPr>
              <w:widowControl w:val="0"/>
              <w:adjustRightInd/>
              <w:snapToGrid/>
              <w:spacing w:after="0" w:line="317"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3、废水监测结论</w:t>
            </w:r>
          </w:p>
          <w:p>
            <w:pPr>
              <w:widowControl w:val="0"/>
              <w:adjustRightInd/>
              <w:snapToGrid/>
              <w:spacing w:after="0" w:line="317" w:lineRule="auto"/>
              <w:ind w:firstLine="480" w:firstLineChars="200"/>
              <w:jc w:val="both"/>
              <w:rPr>
                <w:rFonts w:hint="eastAsia" w:ascii="Times New Roman" w:hAnsi="Times New Roman" w:eastAsia="宋体"/>
                <w:color w:val="auto"/>
                <w:kern w:val="2"/>
                <w:sz w:val="24"/>
                <w:szCs w:val="24"/>
                <w:lang w:eastAsia="zh-CN"/>
              </w:rPr>
            </w:pPr>
            <w:r>
              <w:rPr>
                <w:rFonts w:ascii="Times New Roman" w:hAnsi="Times New Roman" w:eastAsia="宋体"/>
                <w:color w:val="auto"/>
                <w:kern w:val="2"/>
                <w:sz w:val="24"/>
                <w:szCs w:val="24"/>
              </w:rPr>
              <w:t>本项目验收阶段产生的废水包括为</w:t>
            </w:r>
            <w:r>
              <w:rPr>
                <w:rFonts w:hint="eastAsia" w:ascii="Times New Roman" w:hAnsi="Times New Roman" w:eastAsia="宋体"/>
                <w:color w:val="auto"/>
                <w:kern w:val="2"/>
                <w:sz w:val="24"/>
                <w:szCs w:val="24"/>
              </w:rPr>
              <w:t>酸洗磷化表面处理废水</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rPr>
              <w:t>硅烷化表面处理废水</w:t>
            </w:r>
            <w:r>
              <w:rPr>
                <w:rFonts w:hint="eastAsia" w:ascii="Times New Roman" w:hAnsi="Times New Roman" w:eastAsia="宋体"/>
                <w:color w:val="auto"/>
                <w:kern w:val="2"/>
                <w:sz w:val="24"/>
                <w:szCs w:val="24"/>
                <w:lang w:eastAsia="zh-CN"/>
              </w:rPr>
              <w:t>、超声波清洗废水</w:t>
            </w:r>
            <w:r>
              <w:rPr>
                <w:rFonts w:hint="eastAsia" w:ascii="Times New Roman" w:hAnsi="Times New Roman" w:eastAsia="宋体"/>
                <w:color w:val="auto"/>
                <w:kern w:val="2"/>
                <w:sz w:val="24"/>
                <w:szCs w:val="24"/>
                <w:lang w:val="en-US" w:eastAsia="zh-CN"/>
              </w:rPr>
              <w:t>和碱液喷淋废水</w:t>
            </w:r>
            <w:r>
              <w:rPr>
                <w:rFonts w:hint="eastAsia"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所有生产废水汇集到调节池</w:t>
            </w:r>
            <w:r>
              <w:rPr>
                <w:rFonts w:hint="eastAsia" w:ascii="Times New Roman" w:hAnsi="Times New Roman" w:eastAsia="宋体"/>
                <w:color w:val="auto"/>
                <w:kern w:val="2"/>
                <w:sz w:val="24"/>
                <w:szCs w:val="24"/>
              </w:rPr>
              <w:t>经自建污水处理设施（调节、混凝沉淀、气浮反应、砂滤）处理</w:t>
            </w:r>
            <w:r>
              <w:rPr>
                <w:rFonts w:hint="eastAsia" w:ascii="Times New Roman" w:hAnsi="Times New Roman" w:eastAsia="宋体"/>
                <w:color w:val="auto"/>
                <w:kern w:val="2"/>
                <w:sz w:val="24"/>
                <w:szCs w:val="24"/>
                <w:lang w:val="en-US" w:eastAsia="zh-CN"/>
              </w:rPr>
              <w:t>达标</w:t>
            </w:r>
            <w:r>
              <w:rPr>
                <w:rFonts w:hint="eastAsia" w:ascii="Times New Roman" w:hAnsi="Times New Roman" w:eastAsia="宋体"/>
                <w:color w:val="auto"/>
                <w:kern w:val="2"/>
                <w:sz w:val="24"/>
                <w:szCs w:val="24"/>
              </w:rPr>
              <w:t>后</w:t>
            </w:r>
            <w:r>
              <w:rPr>
                <w:rFonts w:hint="eastAsia" w:ascii="Times New Roman" w:hAnsi="Times New Roman" w:eastAsia="宋体"/>
                <w:color w:val="auto"/>
                <w:kern w:val="2"/>
                <w:sz w:val="24"/>
                <w:szCs w:val="24"/>
                <w:lang w:val="en-US" w:eastAsia="zh-CN"/>
              </w:rPr>
              <w:t>部分回用于碱液喷淋塔，其余部分</w:t>
            </w:r>
            <w:r>
              <w:rPr>
                <w:rFonts w:hint="eastAsia" w:ascii="Times New Roman" w:hAnsi="Times New Roman" w:eastAsia="宋体"/>
                <w:color w:val="auto"/>
                <w:kern w:val="2"/>
                <w:sz w:val="24"/>
                <w:szCs w:val="24"/>
              </w:rPr>
              <w:t>纳管</w:t>
            </w:r>
            <w:r>
              <w:rPr>
                <w:rFonts w:hint="eastAsia" w:ascii="Times New Roman" w:hAnsi="Times New Roman" w:eastAsia="宋体"/>
                <w:color w:val="auto"/>
                <w:kern w:val="2"/>
                <w:sz w:val="24"/>
                <w:szCs w:val="24"/>
                <w:lang w:val="en-US" w:eastAsia="zh-CN"/>
              </w:rPr>
              <w:t>排放</w:t>
            </w:r>
            <w:r>
              <w:rPr>
                <w:rFonts w:hint="eastAsia" w:ascii="Times New Roman" w:hAnsi="Times New Roman" w:eastAsia="宋体"/>
                <w:color w:val="auto"/>
                <w:kern w:val="2"/>
                <w:sz w:val="24"/>
                <w:szCs w:val="24"/>
                <w:lang w:eastAsia="zh-CN"/>
              </w:rPr>
              <w:t>。</w:t>
            </w:r>
          </w:p>
          <w:p>
            <w:pPr>
              <w:widowControl w:val="0"/>
              <w:adjustRightInd/>
              <w:snapToGrid/>
              <w:spacing w:after="0" w:line="324" w:lineRule="auto"/>
              <w:ind w:firstLine="480" w:firstLineChars="200"/>
              <w:jc w:val="both"/>
              <w:rPr>
                <w:rFonts w:ascii="Times New Roman" w:hAnsi="Times New Roman" w:eastAsia="宋体"/>
                <w:color w:val="auto"/>
                <w:kern w:val="2"/>
                <w:sz w:val="24"/>
                <w:szCs w:val="24"/>
              </w:rPr>
            </w:pPr>
            <w:r>
              <w:rPr>
                <w:rFonts w:ascii="Times New Roman" w:hAnsi="Times New Roman" w:eastAsia="宋体"/>
                <w:bCs/>
                <w:color w:val="auto"/>
                <w:kern w:val="2"/>
                <w:sz w:val="24"/>
                <w:szCs w:val="24"/>
              </w:rPr>
              <w:t>验收检测期间，本项目</w:t>
            </w:r>
            <w:r>
              <w:rPr>
                <w:rFonts w:hint="eastAsia" w:ascii="Times New Roman" w:hAnsi="Times New Roman" w:eastAsia="宋体"/>
                <w:bCs/>
                <w:color w:val="auto"/>
                <w:kern w:val="2"/>
                <w:sz w:val="24"/>
                <w:szCs w:val="24"/>
              </w:rPr>
              <w:t>生产废水排放口中pH值在7.</w:t>
            </w:r>
            <w:r>
              <w:rPr>
                <w:rFonts w:hint="eastAsia" w:ascii="Times New Roman" w:hAnsi="Times New Roman" w:eastAsia="宋体"/>
                <w:bCs/>
                <w:color w:val="auto"/>
                <w:kern w:val="2"/>
                <w:sz w:val="24"/>
                <w:szCs w:val="24"/>
                <w:lang w:val="en-US" w:eastAsia="zh-CN"/>
              </w:rPr>
              <w:t>4</w:t>
            </w:r>
            <w:r>
              <w:rPr>
                <w:rFonts w:hint="eastAsia" w:ascii="Times New Roman" w:hAnsi="Times New Roman" w:eastAsia="宋体"/>
                <w:bCs/>
                <w:color w:val="auto"/>
                <w:kern w:val="2"/>
                <w:sz w:val="24"/>
                <w:szCs w:val="24"/>
              </w:rPr>
              <w:t>~7.</w:t>
            </w:r>
            <w:r>
              <w:rPr>
                <w:rFonts w:hint="eastAsia" w:ascii="Times New Roman" w:hAnsi="Times New Roman" w:eastAsia="宋体"/>
                <w:bCs/>
                <w:color w:val="auto"/>
                <w:kern w:val="2"/>
                <w:sz w:val="24"/>
                <w:szCs w:val="24"/>
                <w:lang w:val="en-US" w:eastAsia="zh-CN"/>
              </w:rPr>
              <w:t>6</w:t>
            </w:r>
            <w:r>
              <w:rPr>
                <w:rFonts w:hint="eastAsia" w:ascii="Times New Roman" w:hAnsi="Times New Roman" w:eastAsia="宋体"/>
                <w:bCs/>
                <w:color w:val="auto"/>
                <w:kern w:val="2"/>
                <w:sz w:val="24"/>
                <w:szCs w:val="24"/>
              </w:rPr>
              <w:t>之间，废水中主要污染物</w:t>
            </w:r>
            <w:r>
              <w:rPr>
                <w:rFonts w:ascii="Times New Roman" w:hAnsi="Times New Roman" w:eastAsia="宋体"/>
                <w:bCs/>
                <w:color w:val="auto"/>
                <w:kern w:val="2"/>
                <w:sz w:val="24"/>
                <w:szCs w:val="24"/>
              </w:rPr>
              <w:t>悬浮物最大</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rPr>
              <w:t>1</w:t>
            </w:r>
            <w:r>
              <w:rPr>
                <w:rFonts w:hint="eastAsia" w:ascii="Times New Roman" w:hAnsi="Times New Roman" w:eastAsia="宋体"/>
                <w:bCs/>
                <w:color w:val="auto"/>
                <w:kern w:val="2"/>
                <w:sz w:val="24"/>
                <w:szCs w:val="24"/>
                <w:lang w:val="en-US" w:eastAsia="zh-CN"/>
              </w:rPr>
              <w:t>7</w:t>
            </w:r>
            <w:r>
              <w:rPr>
                <w:rFonts w:ascii="Times New Roman" w:hAnsi="Times New Roman" w:eastAsia="宋体"/>
                <w:bCs/>
                <w:color w:val="auto"/>
                <w:kern w:val="2"/>
                <w:sz w:val="24"/>
                <w:szCs w:val="24"/>
              </w:rPr>
              <w:t>mg/L、氨氮最大</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0.292</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总</w:t>
            </w:r>
            <w:r>
              <w:rPr>
                <w:rFonts w:ascii="Times New Roman" w:hAnsi="Times New Roman" w:eastAsia="宋体"/>
                <w:bCs/>
                <w:color w:val="auto"/>
                <w:kern w:val="2"/>
                <w:sz w:val="24"/>
                <w:szCs w:val="24"/>
              </w:rPr>
              <w:t>氮最大</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3.09</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总磷</w:t>
            </w:r>
            <w:r>
              <w:rPr>
                <w:rFonts w:ascii="Times New Roman" w:hAnsi="Times New Roman" w:eastAsia="宋体"/>
                <w:bCs/>
                <w:color w:val="auto"/>
                <w:kern w:val="2"/>
                <w:sz w:val="24"/>
                <w:szCs w:val="24"/>
              </w:rPr>
              <w:t>最大</w:t>
            </w:r>
            <w:r>
              <w:rPr>
                <w:rFonts w:hint="eastAsia" w:ascii="Times New Roman" w:hAnsi="Times New Roman" w:eastAsia="宋体"/>
                <w:bCs/>
                <w:color w:val="auto"/>
                <w:kern w:val="2"/>
                <w:sz w:val="24"/>
                <w:szCs w:val="24"/>
              </w:rPr>
              <w:t>值</w:t>
            </w:r>
            <w:r>
              <w:rPr>
                <w:rFonts w:ascii="Times New Roman" w:hAnsi="Times New Roman" w:eastAsia="宋体"/>
                <w:bCs/>
                <w:color w:val="auto"/>
                <w:kern w:val="2"/>
                <w:sz w:val="24"/>
                <w:szCs w:val="24"/>
              </w:rPr>
              <w:t>为</w:t>
            </w:r>
            <w:r>
              <w:rPr>
                <w:rFonts w:hint="eastAsia" w:ascii="Times New Roman" w:hAnsi="Times New Roman" w:eastAsia="宋体"/>
                <w:bCs/>
                <w:color w:val="auto"/>
                <w:kern w:val="2"/>
                <w:sz w:val="24"/>
                <w:szCs w:val="24"/>
                <w:lang w:val="en-US" w:eastAsia="zh-CN"/>
              </w:rPr>
              <w:t>0.06</w:t>
            </w:r>
            <w:r>
              <w:rPr>
                <w:rFonts w:ascii="Times New Roman" w:hAnsi="Times New Roman" w:eastAsia="宋体"/>
                <w:bCs/>
                <w:color w:val="auto"/>
                <w:kern w:val="2"/>
                <w:sz w:val="24"/>
                <w:szCs w:val="24"/>
              </w:rPr>
              <w:t>mg/L、</w:t>
            </w:r>
            <w:r>
              <w:rPr>
                <w:rFonts w:hint="eastAsia" w:ascii="Times New Roman" w:hAnsi="Times New Roman" w:eastAsia="宋体"/>
                <w:bCs/>
                <w:color w:val="auto"/>
                <w:kern w:val="2"/>
                <w:sz w:val="24"/>
                <w:szCs w:val="24"/>
                <w:lang w:val="en-US" w:eastAsia="zh-CN"/>
              </w:rPr>
              <w:t>化</w:t>
            </w:r>
            <w:r>
              <w:rPr>
                <w:rFonts w:hint="eastAsia" w:ascii="Times New Roman" w:hAnsi="Times New Roman" w:eastAsia="宋体" w:cs="Times New Roman"/>
                <w:bCs/>
                <w:color w:val="auto"/>
                <w:kern w:val="2"/>
                <w:sz w:val="24"/>
                <w:szCs w:val="24"/>
                <w:lang w:val="en-US" w:eastAsia="zh-CN"/>
              </w:rPr>
              <w:t>学需氧量</w:t>
            </w:r>
            <w:r>
              <w:rPr>
                <w:rFonts w:ascii="Times New Roman" w:hAnsi="Times New Roman" w:eastAsia="宋体" w:cs="Times New Roman"/>
                <w:bCs/>
                <w:color w:val="auto"/>
                <w:kern w:val="2"/>
                <w:sz w:val="24"/>
                <w:szCs w:val="24"/>
              </w:rPr>
              <w:t>最大</w:t>
            </w:r>
            <w:r>
              <w:rPr>
                <w:rFonts w:hint="eastAsia" w:ascii="Times New Roman" w:hAnsi="Times New Roman" w:eastAsia="宋体" w:cs="Times New Roman"/>
                <w:bCs/>
                <w:color w:val="auto"/>
                <w:kern w:val="2"/>
                <w:sz w:val="24"/>
                <w:szCs w:val="24"/>
              </w:rPr>
              <w:t>值</w:t>
            </w:r>
            <w:r>
              <w:rPr>
                <w:rFonts w:ascii="Times New Roman" w:hAnsi="Times New Roman" w:eastAsia="宋体" w:cs="Times New Roman"/>
                <w:bCs/>
                <w:color w:val="auto"/>
                <w:kern w:val="2"/>
                <w:sz w:val="24"/>
                <w:szCs w:val="24"/>
              </w:rPr>
              <w:t>为</w:t>
            </w:r>
            <w:r>
              <w:rPr>
                <w:rFonts w:hint="eastAsia" w:ascii="Times New Roman" w:hAnsi="Times New Roman" w:eastAsia="宋体" w:cs="Times New Roman"/>
                <w:bCs/>
                <w:color w:val="auto"/>
                <w:kern w:val="2"/>
                <w:sz w:val="24"/>
                <w:szCs w:val="24"/>
                <w:lang w:val="en-US" w:eastAsia="zh-CN"/>
              </w:rPr>
              <w:t>145</w:t>
            </w:r>
            <w:r>
              <w:rPr>
                <w:rFonts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val="en-US" w:eastAsia="zh-CN"/>
              </w:rPr>
              <w:t>石油类</w:t>
            </w:r>
            <w:r>
              <w:rPr>
                <w:rFonts w:ascii="Times New Roman" w:hAnsi="Times New Roman" w:eastAsia="宋体" w:cs="Times New Roman"/>
                <w:bCs/>
                <w:color w:val="auto"/>
                <w:kern w:val="2"/>
                <w:sz w:val="24"/>
                <w:szCs w:val="24"/>
              </w:rPr>
              <w:t>最大</w:t>
            </w:r>
            <w:r>
              <w:rPr>
                <w:rFonts w:hint="eastAsia" w:ascii="Times New Roman" w:hAnsi="Times New Roman" w:eastAsia="宋体" w:cs="Times New Roman"/>
                <w:bCs/>
                <w:color w:val="auto"/>
                <w:kern w:val="2"/>
                <w:sz w:val="24"/>
                <w:szCs w:val="24"/>
              </w:rPr>
              <w:t>值</w:t>
            </w:r>
            <w:r>
              <w:rPr>
                <w:rFonts w:ascii="Times New Roman" w:hAnsi="Times New Roman" w:eastAsia="宋体" w:cs="Times New Roman"/>
                <w:bCs/>
                <w:color w:val="auto"/>
                <w:kern w:val="2"/>
                <w:sz w:val="24"/>
                <w:szCs w:val="24"/>
              </w:rPr>
              <w:t>为</w:t>
            </w:r>
            <w:r>
              <w:rPr>
                <w:rFonts w:hint="eastAsia" w:ascii="Times New Roman" w:hAnsi="Times New Roman" w:eastAsia="宋体" w:cs="Times New Roman"/>
                <w:bCs/>
                <w:color w:val="auto"/>
                <w:kern w:val="2"/>
                <w:sz w:val="24"/>
                <w:szCs w:val="24"/>
                <w:lang w:val="en-US" w:eastAsia="zh-CN"/>
              </w:rPr>
              <w:t>1.72</w:t>
            </w:r>
            <w:r>
              <w:rPr>
                <w:rFonts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val="en-US" w:eastAsia="zh-CN"/>
              </w:rPr>
              <w:t>锰</w:t>
            </w:r>
            <w:r>
              <w:rPr>
                <w:rFonts w:hint="eastAsia" w:ascii="Times New Roman" w:hAnsi="Times New Roman" w:eastAsia="宋体" w:cs="Times New Roman"/>
                <w:bCs/>
                <w:color w:val="auto"/>
                <w:kern w:val="2"/>
                <w:sz w:val="24"/>
                <w:szCs w:val="24"/>
              </w:rPr>
              <w:t>最大值为0.</w:t>
            </w:r>
            <w:r>
              <w:rPr>
                <w:rFonts w:hint="eastAsia" w:ascii="Times New Roman" w:hAnsi="Times New Roman" w:eastAsia="宋体" w:cs="Times New Roman"/>
                <w:bCs/>
                <w:color w:val="auto"/>
                <w:kern w:val="2"/>
                <w:sz w:val="24"/>
                <w:szCs w:val="24"/>
                <w:lang w:val="en-US" w:eastAsia="zh-CN"/>
              </w:rPr>
              <w:t>07</w:t>
            </w:r>
            <w:r>
              <w:rPr>
                <w:rFonts w:hint="eastAsia"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锌</w:t>
            </w:r>
            <w:r>
              <w:rPr>
                <w:rFonts w:hint="eastAsia" w:ascii="Times New Roman" w:hAnsi="Times New Roman" w:eastAsia="宋体" w:cs="Times New Roman"/>
                <w:bCs/>
                <w:color w:val="auto"/>
                <w:kern w:val="2"/>
                <w:sz w:val="24"/>
                <w:szCs w:val="24"/>
              </w:rPr>
              <w:t>最大值为0.</w:t>
            </w:r>
            <w:r>
              <w:rPr>
                <w:rFonts w:hint="eastAsia" w:ascii="Times New Roman" w:hAnsi="Times New Roman" w:eastAsia="宋体" w:cs="Times New Roman"/>
                <w:bCs/>
                <w:color w:val="auto"/>
                <w:kern w:val="2"/>
                <w:sz w:val="24"/>
                <w:szCs w:val="24"/>
                <w:lang w:val="en-US" w:eastAsia="zh-CN"/>
              </w:rPr>
              <w:t>216</w:t>
            </w:r>
            <w:r>
              <w:rPr>
                <w:rFonts w:hint="eastAsia" w:ascii="Times New Roman" w:hAnsi="Times New Roman" w:eastAsia="宋体" w:cs="Times New Roman"/>
                <w:bCs/>
                <w:color w:val="auto"/>
                <w:kern w:val="2"/>
                <w:sz w:val="24"/>
                <w:szCs w:val="24"/>
              </w:rPr>
              <w:t>mg/L</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铁</w:t>
            </w:r>
            <w:r>
              <w:rPr>
                <w:rFonts w:hint="eastAsia" w:ascii="Times New Roman" w:hAnsi="Times New Roman" w:eastAsia="宋体" w:cs="Times New Roman"/>
                <w:bCs/>
                <w:color w:val="auto"/>
                <w:kern w:val="2"/>
                <w:sz w:val="24"/>
                <w:szCs w:val="24"/>
              </w:rPr>
              <w:t>最大值为0.</w:t>
            </w:r>
            <w:r>
              <w:rPr>
                <w:rFonts w:hint="eastAsia" w:ascii="Times New Roman" w:hAnsi="Times New Roman" w:eastAsia="宋体" w:cs="Times New Roman"/>
                <w:bCs/>
                <w:color w:val="auto"/>
                <w:kern w:val="2"/>
                <w:sz w:val="24"/>
                <w:szCs w:val="24"/>
                <w:lang w:val="en-US" w:eastAsia="zh-CN"/>
              </w:rPr>
              <w:t>65</w:t>
            </w:r>
            <w:r>
              <w:rPr>
                <w:rFonts w:hint="eastAsia" w:ascii="Times New Roman" w:hAnsi="Times New Roman" w:eastAsia="宋体" w:cs="Times New Roman"/>
                <w:bCs/>
                <w:color w:val="auto"/>
                <w:kern w:val="2"/>
                <w:sz w:val="24"/>
                <w:szCs w:val="24"/>
              </w:rPr>
              <w:t>mg/L</w:t>
            </w:r>
            <w:r>
              <w:rPr>
                <w:rFonts w:ascii="Times New Roman" w:hAnsi="Times New Roman" w:eastAsia="宋体" w:cs="Times New Roman"/>
                <w:bCs/>
                <w:color w:val="auto"/>
                <w:kern w:val="2"/>
                <w:sz w:val="24"/>
                <w:szCs w:val="24"/>
              </w:rPr>
              <w:t>、</w:t>
            </w:r>
            <w:r>
              <w:rPr>
                <w:rFonts w:hint="eastAsia" w:ascii="Times New Roman" w:hAnsi="Times New Roman" w:eastAsia="宋体" w:cs="Times New Roman"/>
                <w:bCs/>
                <w:color w:val="auto"/>
                <w:kern w:val="2"/>
                <w:sz w:val="24"/>
                <w:szCs w:val="24"/>
                <w:lang w:val="en-US" w:eastAsia="zh-CN"/>
              </w:rPr>
              <w:t>阴</w:t>
            </w:r>
            <w:r>
              <w:rPr>
                <w:rFonts w:hint="eastAsia" w:ascii="Times New Roman" w:hAnsi="Times New Roman" w:eastAsia="宋体" w:cs="Times New Roman"/>
                <w:bCs/>
                <w:color w:val="auto"/>
                <w:kern w:val="2"/>
                <w:sz w:val="24"/>
                <w:szCs w:val="24"/>
              </w:rPr>
              <w:t>离子表面活性剂</w:t>
            </w:r>
            <w:r>
              <w:rPr>
                <w:rFonts w:hint="eastAsia" w:ascii="Times New Roman" w:hAnsi="Times New Roman" w:eastAsia="宋体" w:cs="Times New Roman"/>
                <w:bCs/>
                <w:color w:val="auto"/>
                <w:kern w:val="2"/>
                <w:sz w:val="24"/>
                <w:szCs w:val="24"/>
                <w:lang w:val="en-US" w:eastAsia="zh-CN"/>
              </w:rPr>
              <w:t>未检出</w:t>
            </w:r>
            <w:r>
              <w:rPr>
                <w:rFonts w:hint="eastAsia" w:ascii="Times New Roman" w:hAnsi="Times New Roman" w:eastAsia="宋体" w:cs="Times New Roman"/>
                <w:bCs/>
                <w:color w:val="auto"/>
                <w:kern w:val="2"/>
                <w:sz w:val="24"/>
                <w:szCs w:val="24"/>
                <w:lang w:eastAsia="zh-CN"/>
              </w:rPr>
              <w:t>。</w:t>
            </w:r>
            <w:r>
              <w:rPr>
                <w:rFonts w:ascii="Times New Roman" w:hAnsi="Times New Roman" w:eastAsia="宋体" w:cs="Times New Roman"/>
                <w:bCs/>
                <w:color w:val="auto"/>
                <w:kern w:val="2"/>
                <w:sz w:val="24"/>
                <w:szCs w:val="24"/>
              </w:rPr>
              <w:t>该项目</w:t>
            </w:r>
            <w:r>
              <w:rPr>
                <w:rFonts w:hint="eastAsia" w:ascii="Times New Roman" w:hAnsi="Times New Roman" w:eastAsia="宋体" w:cs="Times New Roman"/>
                <w:bCs/>
                <w:color w:val="auto"/>
                <w:kern w:val="2"/>
                <w:sz w:val="24"/>
                <w:szCs w:val="24"/>
              </w:rPr>
              <w:t>自建污水处理站出口废水中的pH值、化学需氧量、悬浮物、</w:t>
            </w:r>
            <w:r>
              <w:rPr>
                <w:rFonts w:hint="eastAsia" w:ascii="Times New Roman" w:hAnsi="Times New Roman" w:eastAsia="宋体" w:cs="Times New Roman"/>
                <w:bCs/>
                <w:color w:val="auto"/>
                <w:kern w:val="2"/>
                <w:sz w:val="24"/>
                <w:szCs w:val="24"/>
                <w:lang w:val="en-US" w:eastAsia="zh-CN"/>
              </w:rPr>
              <w:t>总锰、总锌、</w:t>
            </w:r>
            <w:r>
              <w:rPr>
                <w:rFonts w:hint="eastAsia" w:ascii="Times New Roman" w:hAnsi="Times New Roman" w:eastAsia="宋体" w:cs="Times New Roman"/>
                <w:bCs/>
                <w:color w:val="auto"/>
                <w:kern w:val="2"/>
                <w:sz w:val="24"/>
                <w:szCs w:val="24"/>
              </w:rPr>
              <w:t>石油类和阴离子表面活性剂</w:t>
            </w:r>
            <w:r>
              <w:rPr>
                <w:rFonts w:ascii="Times New Roman" w:hAnsi="Times New Roman" w:eastAsia="宋体" w:cs="Times New Roman"/>
                <w:bCs/>
                <w:color w:val="auto"/>
                <w:kern w:val="2"/>
                <w:sz w:val="24"/>
                <w:szCs w:val="24"/>
              </w:rPr>
              <w:t>均符合《污水综合排放标准》（GB8978-1996）三级标准，氨氮</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总磷</w:t>
            </w:r>
            <w:r>
              <w:rPr>
                <w:rFonts w:ascii="Times New Roman" w:hAnsi="Times New Roman" w:eastAsia="宋体" w:cs="Times New Roman"/>
                <w:bCs/>
                <w:color w:val="auto"/>
                <w:kern w:val="2"/>
                <w:sz w:val="24"/>
                <w:szCs w:val="24"/>
              </w:rPr>
              <w:t>的排放浓度均符合《工业企业废水氮、磷污染物间接排放限值》（DB33/887-2013）中间接排放限值</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lang w:val="en-US" w:eastAsia="zh-CN"/>
              </w:rPr>
              <w:t>总铁满足</w:t>
            </w:r>
            <w:r>
              <w:rPr>
                <w:rFonts w:hint="default" w:ascii="Times New Roman" w:hAnsi="Times New Roman" w:eastAsia="宋体" w:cs="Times New Roman"/>
                <w:bCs/>
                <w:color w:val="auto"/>
                <w:kern w:val="2"/>
                <w:sz w:val="24"/>
                <w:szCs w:val="24"/>
                <w:lang w:val="en-US" w:eastAsia="zh-CN"/>
              </w:rPr>
              <w:t>《酸洗废水排放总铁浓度限值》（DB33/844-2011）表1二级排放浓度限值，</w:t>
            </w:r>
            <w:r>
              <w:rPr>
                <w:rFonts w:hint="eastAsia" w:ascii="Times New Roman" w:hAnsi="Times New Roman" w:eastAsia="宋体" w:cs="Times New Roman"/>
                <w:bCs/>
                <w:color w:val="auto"/>
                <w:kern w:val="2"/>
                <w:sz w:val="24"/>
                <w:szCs w:val="24"/>
                <w:lang w:val="en-US" w:eastAsia="zh-CN"/>
              </w:rPr>
              <w:t>总氮满足</w:t>
            </w:r>
            <w:r>
              <w:rPr>
                <w:rFonts w:hint="default" w:ascii="Times New Roman" w:hAnsi="Times New Roman" w:eastAsia="宋体" w:cs="Times New Roman"/>
                <w:bCs/>
                <w:color w:val="auto"/>
                <w:kern w:val="2"/>
                <w:sz w:val="24"/>
                <w:szCs w:val="24"/>
                <w:lang w:val="en-US" w:eastAsia="zh-CN"/>
              </w:rPr>
              <w:t>《污水排入城镇下水道水质标准》（GB/T 31962-2015）表1污水排入城镇下水道水质控制项目限值B级</w:t>
            </w:r>
            <w:r>
              <w:rPr>
                <w:rFonts w:hint="eastAsia" w:ascii="Times New Roman" w:hAnsi="Times New Roman" w:eastAsia="宋体"/>
                <w:color w:val="auto"/>
                <w:kern w:val="2"/>
                <w:sz w:val="24"/>
                <w:szCs w:val="24"/>
              </w:rPr>
              <w:t>。</w:t>
            </w:r>
          </w:p>
          <w:p>
            <w:pPr>
              <w:widowControl w:val="0"/>
              <w:adjustRightInd/>
              <w:snapToGrid/>
              <w:spacing w:after="0" w:line="317"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4、噪声监测结论</w:t>
            </w:r>
          </w:p>
          <w:p>
            <w:pPr>
              <w:widowControl w:val="0"/>
              <w:adjustRightInd/>
              <w:snapToGrid/>
              <w:spacing w:after="0" w:line="317" w:lineRule="auto"/>
              <w:ind w:firstLine="480" w:firstLineChars="200"/>
              <w:jc w:val="both"/>
              <w:rPr>
                <w:rFonts w:ascii="Times New Roman" w:hAnsi="Times New Roman" w:eastAsia="宋体"/>
                <w:color w:val="auto"/>
                <w:kern w:val="2"/>
                <w:sz w:val="24"/>
                <w:szCs w:val="24"/>
              </w:rPr>
            </w:pPr>
            <w:r>
              <w:rPr>
                <w:rFonts w:ascii="Times New Roman" w:hAnsi="Times New Roman" w:eastAsia="宋体"/>
                <w:color w:val="auto"/>
                <w:kern w:val="2"/>
                <w:sz w:val="24"/>
                <w:szCs w:val="24"/>
              </w:rPr>
              <w:t>本项目噪声主要为生产设备的运行噪声，在采取选用先进的低噪声生产设备、对高噪声设备设防振基础或减震垫等措施后，在检测验收期间，项目厂界东、南、西</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北</w:t>
            </w:r>
            <w:r>
              <w:rPr>
                <w:rFonts w:ascii="Times New Roman" w:hAnsi="Times New Roman" w:eastAsia="宋体"/>
                <w:color w:val="auto"/>
                <w:kern w:val="2"/>
                <w:sz w:val="24"/>
                <w:szCs w:val="24"/>
              </w:rPr>
              <w:t>侧噪声测定值均能达到《工业企业厂界环境噪声排放标准》（GB12348-2008）的3类排放限值要求。</w:t>
            </w:r>
          </w:p>
          <w:p>
            <w:pPr>
              <w:widowControl w:val="0"/>
              <w:adjustRightInd/>
              <w:snapToGrid/>
              <w:spacing w:after="0" w:line="317"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5、固废处置</w:t>
            </w:r>
          </w:p>
          <w:p>
            <w:pPr>
              <w:widowControl w:val="0"/>
              <w:adjustRightInd/>
              <w:snapToGrid/>
              <w:spacing w:after="0" w:line="317" w:lineRule="auto"/>
              <w:ind w:firstLine="480" w:firstLineChars="200"/>
              <w:jc w:val="both"/>
              <w:rPr>
                <w:rFonts w:hint="eastAsia" w:ascii="Times New Roman" w:hAnsi="Times New Roman" w:eastAsia="宋体" w:cs="Times New Roman"/>
                <w:color w:val="auto"/>
                <w:kern w:val="2"/>
                <w:sz w:val="24"/>
                <w:szCs w:val="24"/>
              </w:rPr>
            </w:pPr>
            <w:r>
              <w:rPr>
                <w:rFonts w:ascii="Times New Roman" w:hAnsi="Times New Roman" w:eastAsia="宋体"/>
                <w:color w:val="auto"/>
                <w:kern w:val="2"/>
                <w:sz w:val="24"/>
                <w:szCs w:val="24"/>
              </w:rPr>
              <w:t>本项目对生产中产生的固废已进行了有效处置和综合利用</w:t>
            </w:r>
            <w:r>
              <w:rPr>
                <w:rFonts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废边角料和废包装材料等一般固体废物委托浙江裕欣环境科技有限责任公司接收处置；</w:t>
            </w:r>
            <w:r>
              <w:rPr>
                <w:rFonts w:hint="eastAsia" w:ascii="Times New Roman" w:hAnsi="Times New Roman" w:eastAsia="宋体" w:cs="Times New Roman"/>
                <w:color w:val="auto"/>
                <w:kern w:val="2"/>
                <w:sz w:val="24"/>
                <w:szCs w:val="24"/>
                <w:lang w:val="en-US" w:eastAsia="zh-CN"/>
              </w:rPr>
              <w:t>槽渣、废槽液、污泥等危险废物</w:t>
            </w:r>
            <w:r>
              <w:rPr>
                <w:rFonts w:hint="default" w:ascii="Times New Roman" w:hAnsi="Times New Roman" w:eastAsia="宋体" w:cs="Times New Roman"/>
                <w:color w:val="auto"/>
                <w:kern w:val="2"/>
                <w:sz w:val="24"/>
                <w:szCs w:val="24"/>
                <w:lang w:val="en-US" w:eastAsia="zh-CN"/>
              </w:rPr>
              <w:t>收集后委托</w:t>
            </w:r>
            <w:r>
              <w:rPr>
                <w:rFonts w:hint="eastAsia" w:ascii="Times New Roman" w:hAnsi="Times New Roman" w:eastAsia="宋体" w:cs="Times New Roman"/>
                <w:color w:val="auto"/>
                <w:kern w:val="2"/>
                <w:sz w:val="24"/>
                <w:szCs w:val="24"/>
                <w:lang w:val="en-US" w:eastAsia="zh-CN"/>
              </w:rPr>
              <w:t>宁波甬润再生资源回收有限公司</w:t>
            </w:r>
            <w:r>
              <w:rPr>
                <w:rFonts w:hint="default" w:ascii="Times New Roman" w:hAnsi="Times New Roman" w:eastAsia="宋体" w:cs="Times New Roman"/>
                <w:color w:val="auto"/>
                <w:kern w:val="2"/>
                <w:sz w:val="24"/>
                <w:szCs w:val="24"/>
                <w:lang w:val="en-US" w:eastAsia="zh-CN"/>
              </w:rPr>
              <w:t>处置；生活垃圾委托当地环卫部门统一清运。</w:t>
            </w:r>
          </w:p>
          <w:p>
            <w:pPr>
              <w:widowControl w:val="0"/>
              <w:adjustRightInd/>
              <w:snapToGrid/>
              <w:spacing w:after="0" w:line="317" w:lineRule="auto"/>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6、总结论</w:t>
            </w:r>
          </w:p>
          <w:p>
            <w:pPr>
              <w:widowControl w:val="0"/>
              <w:adjustRightInd/>
              <w:snapToGrid/>
              <w:spacing w:after="0" w:line="317" w:lineRule="auto"/>
              <w:ind w:firstLine="480" w:firstLineChars="200"/>
              <w:jc w:val="both"/>
              <w:rPr>
                <w:rFonts w:hint="eastAsia" w:ascii="Times New Roman" w:hAnsi="Times New Roman" w:eastAsia="宋体"/>
                <w:color w:val="auto"/>
                <w:kern w:val="2"/>
                <w:sz w:val="24"/>
                <w:szCs w:val="24"/>
              </w:rPr>
            </w:pPr>
            <w:r>
              <w:rPr>
                <w:rFonts w:hint="eastAsia" w:ascii="Times New Roman" w:hAnsi="Times New Roman" w:eastAsia="宋体"/>
                <w:color w:val="auto"/>
                <w:kern w:val="2"/>
                <w:sz w:val="24"/>
                <w:szCs w:val="24"/>
                <w:lang w:eastAsia="zh-CN"/>
              </w:rPr>
              <w:t>宁波莱堡制冷设备有限公司年产10万台电机生产线技改项目</w:t>
            </w:r>
            <w:r>
              <w:rPr>
                <w:rFonts w:ascii="Times New Roman" w:hAnsi="Times New Roman" w:eastAsia="宋体"/>
                <w:color w:val="auto"/>
                <w:kern w:val="2"/>
                <w:sz w:val="24"/>
                <w:szCs w:val="24"/>
              </w:rPr>
              <w:t>，在建设中执行环保</w:t>
            </w:r>
            <w:r>
              <w:rPr>
                <w:rFonts w:hint="eastAsia" w:ascii="Times New Roman" w:hAnsi="Times New Roman" w:eastAsia="宋体"/>
                <w:color w:val="auto"/>
                <w:kern w:val="2"/>
                <w:sz w:val="24"/>
                <w:szCs w:val="24"/>
                <w:lang w:eastAsia="zh-CN"/>
              </w:rPr>
              <w:t>“</w:t>
            </w:r>
            <w:r>
              <w:rPr>
                <w:rFonts w:ascii="Times New Roman" w:hAnsi="Times New Roman" w:eastAsia="宋体"/>
                <w:color w:val="auto"/>
                <w:kern w:val="2"/>
                <w:sz w:val="24"/>
                <w:szCs w:val="24"/>
              </w:rPr>
              <w:t>三同时</w:t>
            </w:r>
            <w:r>
              <w:rPr>
                <w:rFonts w:hint="eastAsia" w:ascii="Times New Roman" w:hAnsi="Times New Roman" w:eastAsia="宋体"/>
                <w:color w:val="auto"/>
                <w:kern w:val="2"/>
                <w:sz w:val="24"/>
                <w:szCs w:val="24"/>
                <w:lang w:eastAsia="zh-CN"/>
              </w:rPr>
              <w:t>”</w:t>
            </w:r>
            <w:r>
              <w:rPr>
                <w:rFonts w:ascii="Times New Roman" w:hAnsi="Times New Roman" w:eastAsia="宋体"/>
                <w:color w:val="auto"/>
                <w:kern w:val="2"/>
                <w:sz w:val="24"/>
                <w:szCs w:val="24"/>
              </w:rPr>
              <w:t>规定，验收资料齐全，环境保护措施基本落实，废水排放口、</w:t>
            </w:r>
            <w:r>
              <w:rPr>
                <w:rFonts w:hint="eastAsia" w:ascii="Times New Roman" w:hAnsi="Times New Roman" w:eastAsia="宋体"/>
                <w:color w:val="auto"/>
                <w:kern w:val="2"/>
                <w:sz w:val="24"/>
                <w:szCs w:val="24"/>
                <w:lang w:val="en-US" w:eastAsia="zh-CN"/>
              </w:rPr>
              <w:t>有组织废气、</w:t>
            </w:r>
            <w:r>
              <w:rPr>
                <w:rFonts w:ascii="Times New Roman" w:hAnsi="Times New Roman" w:eastAsia="宋体"/>
                <w:color w:val="auto"/>
                <w:kern w:val="2"/>
                <w:sz w:val="24"/>
                <w:szCs w:val="24"/>
              </w:rPr>
              <w:t>厂界无组织</w:t>
            </w:r>
            <w:r>
              <w:rPr>
                <w:rFonts w:hint="eastAsia" w:ascii="Times New Roman" w:hAnsi="Times New Roman" w:eastAsia="宋体"/>
                <w:color w:val="auto"/>
                <w:kern w:val="2"/>
                <w:sz w:val="24"/>
                <w:szCs w:val="24"/>
                <w:lang w:val="en-US" w:eastAsia="zh-CN"/>
              </w:rPr>
              <w:t>废气</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厂区内无组织废气、</w:t>
            </w:r>
            <w:r>
              <w:rPr>
                <w:rFonts w:ascii="Times New Roman" w:hAnsi="Times New Roman" w:eastAsia="宋体"/>
                <w:color w:val="auto"/>
                <w:kern w:val="2"/>
                <w:sz w:val="24"/>
                <w:szCs w:val="24"/>
              </w:rPr>
              <w:t>厂界噪声等监测指标均达到相关排放标准，固废贮存符合国家有关的环保要求，已按照排污许可要求进行排污</w:t>
            </w:r>
            <w:r>
              <w:rPr>
                <w:rFonts w:hint="eastAsia" w:ascii="Times New Roman" w:hAnsi="Times New Roman" w:eastAsia="宋体"/>
                <w:color w:val="auto"/>
                <w:kern w:val="2"/>
                <w:sz w:val="24"/>
                <w:szCs w:val="24"/>
                <w:lang w:val="en-US" w:eastAsia="zh-CN"/>
              </w:rPr>
              <w:t>许可证申领</w:t>
            </w:r>
            <w:r>
              <w:rPr>
                <w:rFonts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完成了企业突发环境事件应急预案备案，</w:t>
            </w:r>
            <w:r>
              <w:rPr>
                <w:rFonts w:ascii="Times New Roman" w:hAnsi="Times New Roman" w:eastAsia="宋体"/>
                <w:color w:val="auto"/>
                <w:kern w:val="2"/>
                <w:sz w:val="24"/>
                <w:szCs w:val="24"/>
              </w:rPr>
              <w:t>基本具备建设项目环保设施竣工验收条件</w:t>
            </w:r>
            <w:r>
              <w:rPr>
                <w:rFonts w:hint="eastAsia" w:ascii="Times New Roman" w:hAnsi="Times New Roman" w:eastAsia="宋体"/>
                <w:color w:val="auto"/>
                <w:kern w:val="2"/>
                <w:sz w:val="24"/>
                <w:szCs w:val="24"/>
              </w:rPr>
              <w:t>。</w:t>
            </w:r>
          </w:p>
        </w:tc>
      </w:tr>
    </w:tbl>
    <w:p>
      <w:pPr>
        <w:pStyle w:val="21"/>
        <w:spacing w:before="0" w:beforeAutospacing="0" w:after="0" w:afterAutospacing="0" w:line="360" w:lineRule="exact"/>
        <w:jc w:val="both"/>
        <w:rPr>
          <w:rFonts w:ascii="Times New Roman" w:hAnsi="Times New Roman" w:cs="Times New Roman"/>
          <w:b/>
          <w:color w:val="auto"/>
          <w:sz w:val="21"/>
          <w:szCs w:val="21"/>
        </w:rPr>
        <w:sectPr>
          <w:pgSz w:w="11906" w:h="16838"/>
          <w:pgMar w:top="1417" w:right="1417" w:bottom="1417" w:left="1417" w:header="709" w:footer="709" w:gutter="0"/>
          <w:pgBorders>
            <w:top w:val="none" w:sz="0" w:space="0"/>
            <w:left w:val="none" w:sz="0" w:space="0"/>
            <w:bottom w:val="none" w:sz="0" w:space="0"/>
            <w:right w:val="none" w:sz="0" w:space="0"/>
          </w:pgBorders>
          <w:cols w:space="720" w:num="1"/>
          <w:rtlGutter w:val="0"/>
          <w:docGrid w:linePitch="360" w:charSpace="0"/>
        </w:sectPr>
      </w:pPr>
    </w:p>
    <w:tbl>
      <w:tblPr>
        <w:tblStyle w:val="11"/>
        <w:tblW w:w="15040" w:type="dxa"/>
        <w:jc w:val="center"/>
        <w:tblLayout w:type="fixed"/>
        <w:tblCellMar>
          <w:top w:w="0" w:type="dxa"/>
          <w:left w:w="0" w:type="dxa"/>
          <w:bottom w:w="0" w:type="dxa"/>
          <w:right w:w="0" w:type="dxa"/>
        </w:tblCellMar>
      </w:tblPr>
      <w:tblGrid>
        <w:gridCol w:w="330"/>
        <w:gridCol w:w="291"/>
        <w:gridCol w:w="1293"/>
        <w:gridCol w:w="742"/>
        <w:gridCol w:w="453"/>
        <w:gridCol w:w="339"/>
        <w:gridCol w:w="1200"/>
        <w:gridCol w:w="435"/>
        <w:gridCol w:w="795"/>
        <w:gridCol w:w="554"/>
        <w:gridCol w:w="334"/>
        <w:gridCol w:w="852"/>
        <w:gridCol w:w="991"/>
        <w:gridCol w:w="1284"/>
        <w:gridCol w:w="984"/>
        <w:gridCol w:w="1077"/>
        <w:gridCol w:w="625"/>
        <w:gridCol w:w="395"/>
        <w:gridCol w:w="1022"/>
        <w:gridCol w:w="561"/>
        <w:gridCol w:w="483"/>
      </w:tblGrid>
      <w:tr>
        <w:tblPrEx>
          <w:tblCellMar>
            <w:top w:w="0" w:type="dxa"/>
            <w:left w:w="0" w:type="dxa"/>
            <w:bottom w:w="0" w:type="dxa"/>
            <w:right w:w="0" w:type="dxa"/>
          </w:tblCellMar>
        </w:tblPrEx>
        <w:trPr>
          <w:trHeight w:val="20" w:hRule="atLeast"/>
          <w:jc w:val="center"/>
        </w:trPr>
        <w:tc>
          <w:tcPr>
            <w:tcW w:w="15040" w:type="dxa"/>
            <w:gridSpan w:val="21"/>
            <w:tcBorders>
              <w:top w:val="nil"/>
              <w:left w:val="nil"/>
              <w:bottom w:val="nil"/>
              <w:right w:val="nil"/>
            </w:tcBorders>
            <w:noWrap w:val="0"/>
            <w:vAlign w:val="center"/>
          </w:tcPr>
          <w:p>
            <w:pPr>
              <w:adjustRightInd/>
              <w:snapToGrid/>
              <w:spacing w:after="0" w:line="240" w:lineRule="atLeast"/>
              <w:jc w:val="center"/>
              <w:rPr>
                <w:rFonts w:ascii="Times New Roman" w:hAnsi="Times New Roman" w:eastAsia="宋体"/>
                <w:b/>
                <w:bCs/>
                <w:color w:val="auto"/>
                <w:sz w:val="28"/>
                <w:szCs w:val="28"/>
              </w:rPr>
            </w:pPr>
            <w:r>
              <w:rPr>
                <w:rFonts w:ascii="Times New Roman" w:hAnsi="Times New Roman" w:eastAsia="宋体"/>
                <w:b/>
                <w:bCs/>
                <w:color w:val="auto"/>
                <w:sz w:val="28"/>
                <w:szCs w:val="28"/>
              </w:rPr>
              <w:t>建设项目工程竣工环境保护</w:t>
            </w:r>
            <w:r>
              <w:rPr>
                <w:rFonts w:hint="eastAsia" w:ascii="Times New Roman" w:hAnsi="Times New Roman" w:eastAsia="宋体"/>
                <w:b/>
                <w:bCs/>
                <w:color w:val="auto"/>
                <w:sz w:val="28"/>
                <w:szCs w:val="28"/>
                <w:lang w:eastAsia="zh-CN"/>
              </w:rPr>
              <w:t>“</w:t>
            </w:r>
            <w:r>
              <w:rPr>
                <w:rFonts w:ascii="Times New Roman" w:hAnsi="Times New Roman" w:eastAsia="宋体"/>
                <w:b/>
                <w:bCs/>
                <w:color w:val="auto"/>
                <w:sz w:val="28"/>
                <w:szCs w:val="28"/>
              </w:rPr>
              <w:t>三同时</w:t>
            </w:r>
            <w:r>
              <w:rPr>
                <w:rFonts w:hint="eastAsia" w:ascii="Times New Roman" w:hAnsi="Times New Roman" w:eastAsia="宋体"/>
                <w:b/>
                <w:bCs/>
                <w:color w:val="auto"/>
                <w:sz w:val="28"/>
                <w:szCs w:val="28"/>
                <w:lang w:eastAsia="zh-CN"/>
              </w:rPr>
              <w:t>”</w:t>
            </w:r>
            <w:r>
              <w:rPr>
                <w:rFonts w:ascii="Times New Roman" w:hAnsi="Times New Roman" w:eastAsia="宋体"/>
                <w:b/>
                <w:bCs/>
                <w:color w:val="auto"/>
                <w:sz w:val="28"/>
                <w:szCs w:val="28"/>
              </w:rPr>
              <w:t>验收登记表</w:t>
            </w:r>
          </w:p>
        </w:tc>
      </w:tr>
      <w:tr>
        <w:tblPrEx>
          <w:tblCellMar>
            <w:top w:w="0" w:type="dxa"/>
            <w:left w:w="0" w:type="dxa"/>
            <w:bottom w:w="0" w:type="dxa"/>
            <w:right w:w="0" w:type="dxa"/>
          </w:tblCellMar>
        </w:tblPrEx>
        <w:trPr>
          <w:trHeight w:val="20" w:hRule="atLeast"/>
          <w:jc w:val="center"/>
        </w:trPr>
        <w:tc>
          <w:tcPr>
            <w:tcW w:w="15040" w:type="dxa"/>
            <w:gridSpan w:val="21"/>
            <w:tcBorders>
              <w:top w:val="nil"/>
              <w:left w:val="nil"/>
              <w:bottom w:val="single" w:color="auto" w:sz="4" w:space="0"/>
              <w:right w:val="nil"/>
            </w:tcBorders>
            <w:noWrap w:val="0"/>
            <w:vAlign w:val="center"/>
          </w:tcPr>
          <w:p>
            <w:pPr>
              <w:adjustRightInd/>
              <w:snapToGrid/>
              <w:spacing w:after="0" w:line="240" w:lineRule="atLeast"/>
              <w:ind w:right="1023" w:rightChars="465"/>
              <w:jc w:val="both"/>
              <w:rPr>
                <w:rFonts w:ascii="Times New Roman" w:hAnsi="Times New Roman" w:eastAsia="宋体"/>
                <w:color w:val="auto"/>
                <w:sz w:val="24"/>
                <w:szCs w:val="24"/>
              </w:rPr>
            </w:pPr>
            <w:r>
              <w:rPr>
                <w:rFonts w:ascii="Times New Roman" w:hAnsi="Times New Roman" w:eastAsia="宋体"/>
                <w:color w:val="auto"/>
                <w:sz w:val="24"/>
                <w:szCs w:val="24"/>
              </w:rPr>
              <w:t>填表单位（盖章）：</w:t>
            </w:r>
            <w:r>
              <w:rPr>
                <w:rFonts w:hint="eastAsia" w:ascii="Times New Roman" w:hAnsi="Times New Roman" w:eastAsia="宋体"/>
                <w:color w:val="auto"/>
                <w:sz w:val="24"/>
                <w:szCs w:val="24"/>
                <w:lang w:eastAsia="zh-CN"/>
              </w:rPr>
              <w:t>宁波莱堡制冷设备有限公司</w:t>
            </w:r>
            <w:r>
              <w:rPr>
                <w:rFonts w:hint="eastAsia" w:ascii="Times New Roman" w:hAnsi="Times New Roman" w:eastAsia="宋体"/>
                <w:color w:val="auto"/>
                <w:sz w:val="24"/>
                <w:szCs w:val="24"/>
                <w:lang w:val="en-US" w:eastAsia="zh-CN"/>
              </w:rPr>
              <w:t xml:space="preserve">              </w:t>
            </w:r>
            <w:r>
              <w:rPr>
                <w:rFonts w:ascii="Times New Roman" w:hAnsi="Times New Roman" w:eastAsia="宋体"/>
                <w:color w:val="auto"/>
                <w:sz w:val="24"/>
                <w:szCs w:val="24"/>
              </w:rPr>
              <w:t>填表人（签字）：</w:t>
            </w:r>
            <w:r>
              <w:rPr>
                <w:rFonts w:hint="eastAsia" w:ascii="Times New Roman" w:hAnsi="Times New Roman" w:eastAsia="宋体"/>
                <w:color w:val="auto"/>
                <w:sz w:val="24"/>
                <w:szCs w:val="24"/>
                <w:lang w:val="en-US" w:eastAsia="zh-CN"/>
              </w:rPr>
              <w:t xml:space="preserve">             </w:t>
            </w:r>
            <w:r>
              <w:rPr>
                <w:rFonts w:ascii="Times New Roman" w:hAnsi="Times New Roman" w:eastAsia="宋体"/>
                <w:color w:val="auto"/>
                <w:sz w:val="24"/>
                <w:szCs w:val="24"/>
              </w:rPr>
              <w:t>项目经办人（签字）：</w:t>
            </w:r>
          </w:p>
        </w:tc>
      </w:tr>
      <w:tr>
        <w:tblPrEx>
          <w:tblCellMar>
            <w:top w:w="0" w:type="dxa"/>
            <w:left w:w="0" w:type="dxa"/>
            <w:bottom w:w="0" w:type="dxa"/>
            <w:right w:w="0" w:type="dxa"/>
          </w:tblCellMar>
        </w:tblPrEx>
        <w:trPr>
          <w:trHeight w:val="20" w:hRule="atLeast"/>
          <w:jc w:val="center"/>
        </w:trPr>
        <w:tc>
          <w:tcPr>
            <w:tcW w:w="330" w:type="dxa"/>
            <w:vMerge w:val="restart"/>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建设项目</w:t>
            </w: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项目名称</w:t>
            </w:r>
          </w:p>
        </w:tc>
        <w:tc>
          <w:tcPr>
            <w:tcW w:w="4110" w:type="dxa"/>
            <w:gridSpan w:val="7"/>
            <w:tcBorders>
              <w:top w:val="single" w:color="auto" w:sz="4" w:space="0"/>
              <w:left w:val="nil"/>
              <w:bottom w:val="single" w:color="auto" w:sz="4" w:space="0"/>
              <w:right w:val="single" w:color="000000" w:sz="4" w:space="0"/>
            </w:tcBorders>
            <w:noWrap w:val="0"/>
            <w:vAlign w:val="center"/>
          </w:tcPr>
          <w:p>
            <w:pPr>
              <w:widowControl w:val="0"/>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lang w:eastAsia="zh-CN"/>
              </w:rPr>
              <w:t>年产10万台电机生产线技改项目</w:t>
            </w:r>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项目代码</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2020-330203-38-03-172795</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建设地点</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海曙区洞桥镇</w:t>
            </w:r>
            <w:r>
              <w:rPr>
                <w:rFonts w:ascii="Arial" w:hAnsi="Arial" w:eastAsia="宋体" w:cs="Arial"/>
                <w:i w:val="0"/>
                <w:iCs w:val="0"/>
                <w:caps w:val="0"/>
                <w:color w:val="4C4C4C"/>
                <w:spacing w:val="0"/>
                <w:sz w:val="18"/>
                <w:szCs w:val="18"/>
                <w:shd w:val="clear" w:color="auto" w:fill="FFFFFF"/>
              </w:rPr>
              <w:t>洞北路22号</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行业类别（分类管理名录）</w:t>
            </w:r>
          </w:p>
        </w:tc>
        <w:tc>
          <w:tcPr>
            <w:tcW w:w="4110" w:type="dxa"/>
            <w:gridSpan w:val="7"/>
            <w:tcBorders>
              <w:top w:val="single" w:color="auto" w:sz="4" w:space="0"/>
              <w:left w:val="nil"/>
              <w:bottom w:val="single" w:color="auto" w:sz="4" w:space="0"/>
              <w:right w:val="single" w:color="000000" w:sz="4" w:space="0"/>
            </w:tcBorders>
            <w:noWrap w:val="0"/>
            <w:vAlign w:val="center"/>
          </w:tcPr>
          <w:p>
            <w:pPr>
              <w:widowControl w:val="0"/>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C3812 电动机制造</w:t>
            </w:r>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建设性质</w:t>
            </w:r>
          </w:p>
        </w:tc>
        <w:tc>
          <w:tcPr>
            <w:tcW w:w="2268"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lang w:eastAsia="zh-CN"/>
              </w:rPr>
              <w:sym w:font="Wingdings 2" w:char="00A3"/>
            </w:r>
            <w:r>
              <w:rPr>
                <w:rFonts w:ascii="Times New Roman" w:hAnsi="Times New Roman" w:eastAsia="宋体"/>
                <w:b/>
                <w:bCs/>
                <w:color w:val="auto"/>
                <w:sz w:val="18"/>
                <w:szCs w:val="18"/>
              </w:rPr>
              <w:t>新建</w:t>
            </w:r>
            <w:r>
              <w:rPr>
                <w:rFonts w:hint="eastAsia" w:ascii="Times New Roman" w:hAnsi="Times New Roman" w:eastAsia="宋体"/>
                <w:b/>
                <w:bCs/>
                <w:color w:val="auto"/>
                <w:sz w:val="18"/>
                <w:szCs w:val="18"/>
                <w:lang w:eastAsia="zh-CN"/>
              </w:rPr>
              <w:sym w:font="Wingdings 2" w:char="0052"/>
            </w:r>
            <w:r>
              <w:rPr>
                <w:rFonts w:ascii="Times New Roman" w:hAnsi="Times New Roman" w:eastAsia="宋体"/>
                <w:b/>
                <w:bCs/>
                <w:color w:val="auto"/>
                <w:sz w:val="18"/>
                <w:szCs w:val="18"/>
              </w:rPr>
              <w:t>改扩建</w:t>
            </w:r>
            <w:r>
              <w:rPr>
                <w:rFonts w:hint="eastAsia" w:ascii="Times New Roman" w:hAnsi="Times New Roman" w:eastAsia="宋体"/>
                <w:b/>
                <w:bCs/>
                <w:color w:val="auto"/>
                <w:sz w:val="18"/>
                <w:szCs w:val="18"/>
                <w:lang w:eastAsia="zh-CN"/>
              </w:rPr>
              <w:sym w:font="Wingdings 2" w:char="00A3"/>
            </w:r>
            <w:r>
              <w:rPr>
                <w:rFonts w:ascii="Times New Roman" w:hAnsi="Times New Roman" w:eastAsia="宋体"/>
                <w:b/>
                <w:bCs/>
                <w:color w:val="auto"/>
                <w:sz w:val="18"/>
                <w:szCs w:val="18"/>
              </w:rPr>
              <w:t>技术改造</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w:t>
            </w:r>
            <w:r>
              <w:rPr>
                <w:rFonts w:hint="eastAsia" w:ascii="Times New Roman" w:hAnsi="Times New Roman" w:eastAsia="宋体"/>
                <w:b/>
                <w:bCs/>
                <w:color w:val="auto"/>
                <w:sz w:val="18"/>
                <w:szCs w:val="18"/>
              </w:rPr>
              <w:t>场</w:t>
            </w:r>
            <w:r>
              <w:rPr>
                <w:rFonts w:ascii="Times New Roman" w:hAnsi="Times New Roman" w:eastAsia="宋体"/>
                <w:b/>
                <w:bCs/>
                <w:color w:val="auto"/>
                <w:sz w:val="18"/>
                <w:szCs w:val="18"/>
              </w:rPr>
              <w:t>区中心经度/纬度</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Cs/>
                <w:color w:val="auto"/>
                <w:sz w:val="18"/>
                <w:szCs w:val="18"/>
              </w:rPr>
            </w:pPr>
            <w:r>
              <w:rPr>
                <w:rFonts w:hint="default" w:ascii="Times New Roman" w:hAnsi="Times New Roman" w:eastAsia="宋体" w:cs="Times New Roman"/>
                <w:color w:val="auto"/>
                <w:sz w:val="21"/>
                <w:szCs w:val="21"/>
                <w:lang w:eastAsia="zh-CN"/>
              </w:rPr>
              <w:t>121°25′6.75″</w:t>
            </w:r>
            <w:r>
              <w:rPr>
                <w:rFonts w:ascii="Times New Roman" w:hAnsi="Times New Roman" w:eastAsia="宋体"/>
                <w:bCs/>
                <w:color w:val="auto"/>
                <w:sz w:val="18"/>
                <w:szCs w:val="18"/>
              </w:rPr>
              <w:t>E，</w:t>
            </w:r>
            <w:r>
              <w:rPr>
                <w:rFonts w:hint="default" w:ascii="Times New Roman" w:hAnsi="Times New Roman" w:eastAsia="宋体" w:cs="Times New Roman"/>
                <w:color w:val="auto"/>
                <w:sz w:val="21"/>
                <w:szCs w:val="21"/>
                <w:lang w:val="en-US" w:eastAsia="zh-CN"/>
              </w:rPr>
              <w:t>29°47′11.83″</w:t>
            </w:r>
            <w:r>
              <w:rPr>
                <w:rFonts w:ascii="Times New Roman" w:hAnsi="Times New Roman" w:eastAsia="宋体"/>
                <w:bCs/>
                <w:color w:val="auto"/>
                <w:sz w:val="18"/>
                <w:szCs w:val="18"/>
              </w:rPr>
              <w:t>N</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设计生产能力</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年产10万台电机</w:t>
            </w:r>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实际生产能力</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年产10万台电机</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环评单位</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浙江仁欣环科院有限责任公司</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环评文件审批机关</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bookmarkStart w:id="26" w:name="_Hlk99005150"/>
            <w:r>
              <w:rPr>
                <w:rFonts w:hint="eastAsia" w:ascii="Times New Roman" w:hAnsi="Times New Roman" w:eastAsia="宋体"/>
                <w:color w:val="auto"/>
                <w:sz w:val="18"/>
                <w:szCs w:val="18"/>
              </w:rPr>
              <w:t>宁波市生态环境局</w:t>
            </w:r>
            <w:r>
              <w:rPr>
                <w:rFonts w:hint="eastAsia" w:ascii="Times New Roman" w:hAnsi="Times New Roman" w:eastAsia="宋体"/>
                <w:color w:val="auto"/>
                <w:sz w:val="18"/>
                <w:szCs w:val="18"/>
                <w:lang w:val="en-US" w:eastAsia="zh-CN"/>
              </w:rPr>
              <w:t>海曙</w:t>
            </w:r>
            <w:r>
              <w:rPr>
                <w:rFonts w:hint="eastAsia" w:ascii="Times New Roman" w:hAnsi="Times New Roman" w:eastAsia="宋体"/>
                <w:color w:val="auto"/>
                <w:sz w:val="18"/>
                <w:szCs w:val="18"/>
              </w:rPr>
              <w:t>分局</w:t>
            </w:r>
            <w:bookmarkEnd w:id="26"/>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审批文号</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2023甬环海审(建)第005号</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环评文件类型</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报告表</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开工日期</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202</w:t>
            </w:r>
            <w:r>
              <w:rPr>
                <w:rFonts w:hint="eastAsia" w:ascii="Times New Roman" w:hAnsi="Times New Roman" w:eastAsia="宋体"/>
                <w:color w:val="auto"/>
                <w:sz w:val="18"/>
                <w:szCs w:val="18"/>
                <w:lang w:val="en-US" w:eastAsia="zh-CN"/>
              </w:rPr>
              <w:t>2</w:t>
            </w:r>
            <w:r>
              <w:rPr>
                <w:rFonts w:hint="eastAsia" w:ascii="Times New Roman" w:hAnsi="Times New Roman" w:eastAsia="宋体"/>
                <w:color w:val="auto"/>
                <w:sz w:val="18"/>
                <w:szCs w:val="18"/>
              </w:rPr>
              <w:t>年</w:t>
            </w:r>
            <w:r>
              <w:rPr>
                <w:rFonts w:hint="eastAsia" w:ascii="Times New Roman" w:hAnsi="Times New Roman" w:eastAsia="宋体"/>
                <w:color w:val="auto"/>
                <w:sz w:val="18"/>
                <w:szCs w:val="18"/>
                <w:lang w:val="en-US" w:eastAsia="zh-CN"/>
              </w:rPr>
              <w:t>4</w:t>
            </w:r>
            <w:r>
              <w:rPr>
                <w:rFonts w:hint="eastAsia" w:ascii="Times New Roman" w:hAnsi="Times New Roman" w:eastAsia="宋体"/>
                <w:color w:val="auto"/>
                <w:sz w:val="18"/>
                <w:szCs w:val="18"/>
              </w:rPr>
              <w:t>月</w:t>
            </w:r>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竣工日期</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20</w:t>
            </w:r>
            <w:r>
              <w:rPr>
                <w:rFonts w:hint="eastAsia" w:ascii="Times New Roman" w:hAnsi="Times New Roman" w:eastAsia="宋体"/>
                <w:color w:val="auto"/>
                <w:sz w:val="18"/>
                <w:szCs w:val="18"/>
                <w:lang w:val="en-US" w:eastAsia="zh-CN"/>
              </w:rPr>
              <w:t>23</w:t>
            </w:r>
            <w:r>
              <w:rPr>
                <w:rFonts w:hint="eastAsia" w:ascii="Times New Roman" w:hAnsi="Times New Roman" w:eastAsia="宋体"/>
                <w:color w:val="auto"/>
                <w:sz w:val="18"/>
                <w:szCs w:val="18"/>
              </w:rPr>
              <w:t>年</w:t>
            </w:r>
            <w:r>
              <w:rPr>
                <w:rFonts w:hint="eastAsia" w:ascii="Times New Roman" w:hAnsi="Times New Roman" w:eastAsia="宋体"/>
                <w:color w:val="auto"/>
                <w:sz w:val="18"/>
                <w:szCs w:val="18"/>
                <w:lang w:val="en-US" w:eastAsia="zh-CN"/>
              </w:rPr>
              <w:t>8</w:t>
            </w:r>
            <w:r>
              <w:rPr>
                <w:rFonts w:hint="eastAsia" w:ascii="Times New Roman" w:hAnsi="Times New Roman" w:eastAsia="宋体"/>
                <w:color w:val="auto"/>
                <w:sz w:val="18"/>
                <w:szCs w:val="18"/>
              </w:rPr>
              <w:t>月</w:t>
            </w:r>
            <w:r>
              <w:rPr>
                <w:rFonts w:hint="eastAsia" w:ascii="Times New Roman" w:hAnsi="Times New Roman" w:eastAsia="宋体"/>
                <w:color w:val="auto"/>
                <w:sz w:val="18"/>
                <w:szCs w:val="18"/>
                <w:lang w:val="en-US" w:eastAsia="zh-CN"/>
              </w:rPr>
              <w:t>10</w:t>
            </w:r>
            <w:r>
              <w:rPr>
                <w:rFonts w:hint="eastAsia" w:ascii="Times New Roman" w:hAnsi="Times New Roman" w:eastAsia="宋体"/>
                <w:color w:val="auto"/>
                <w:sz w:val="18"/>
                <w:szCs w:val="18"/>
              </w:rPr>
              <w:t>日</w:t>
            </w:r>
          </w:p>
        </w:tc>
        <w:tc>
          <w:tcPr>
            <w:tcW w:w="1702"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排污许可证申领时间</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202</w:t>
            </w:r>
            <w:r>
              <w:rPr>
                <w:rFonts w:hint="eastAsia" w:ascii="Times New Roman" w:hAnsi="Times New Roman" w:eastAsia="宋体"/>
                <w:color w:val="auto"/>
                <w:sz w:val="18"/>
                <w:szCs w:val="18"/>
                <w:lang w:val="en-US" w:eastAsia="zh-CN"/>
              </w:rPr>
              <w:t>3</w:t>
            </w:r>
            <w:r>
              <w:rPr>
                <w:rFonts w:ascii="Times New Roman" w:hAnsi="Times New Roman" w:eastAsia="宋体"/>
                <w:color w:val="auto"/>
                <w:sz w:val="18"/>
                <w:szCs w:val="18"/>
              </w:rPr>
              <w:t>年</w:t>
            </w:r>
            <w:r>
              <w:rPr>
                <w:rFonts w:hint="eastAsia" w:ascii="Times New Roman" w:hAnsi="Times New Roman" w:eastAsia="宋体"/>
                <w:color w:val="auto"/>
                <w:sz w:val="18"/>
                <w:szCs w:val="18"/>
                <w:lang w:val="en-US" w:eastAsia="zh-CN"/>
              </w:rPr>
              <w:t>8</w:t>
            </w:r>
            <w:r>
              <w:rPr>
                <w:rFonts w:ascii="Times New Roman" w:hAnsi="Times New Roman" w:eastAsia="宋体"/>
                <w:color w:val="auto"/>
                <w:sz w:val="18"/>
                <w:szCs w:val="18"/>
              </w:rPr>
              <w:t>月</w:t>
            </w:r>
            <w:r>
              <w:rPr>
                <w:rFonts w:hint="eastAsia" w:ascii="Times New Roman" w:hAnsi="Times New Roman" w:eastAsia="宋体"/>
                <w:color w:val="auto"/>
                <w:sz w:val="18"/>
                <w:szCs w:val="18"/>
                <w:lang w:val="en-US" w:eastAsia="zh-CN"/>
              </w:rPr>
              <w:t>29日</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环保设施设计单位</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w:t>
            </w:r>
          </w:p>
        </w:tc>
        <w:tc>
          <w:tcPr>
            <w:tcW w:w="1843" w:type="dxa"/>
            <w:gridSpan w:val="2"/>
            <w:tcBorders>
              <w:top w:val="single" w:color="auto" w:sz="4" w:space="0"/>
              <w:left w:val="single" w:color="auto" w:sz="4" w:space="0"/>
              <w:bottom w:val="nil"/>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环保设施施工单位</w:t>
            </w:r>
          </w:p>
        </w:tc>
        <w:tc>
          <w:tcPr>
            <w:tcW w:w="2268" w:type="dxa"/>
            <w:gridSpan w:val="2"/>
            <w:tcBorders>
              <w:top w:val="nil"/>
              <w:left w:val="nil"/>
              <w:bottom w:val="nil"/>
              <w:right w:val="single" w:color="auto"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w:t>
            </w:r>
          </w:p>
        </w:tc>
        <w:tc>
          <w:tcPr>
            <w:tcW w:w="1702" w:type="dxa"/>
            <w:gridSpan w:val="2"/>
            <w:tcBorders>
              <w:top w:val="single" w:color="auto" w:sz="4" w:space="0"/>
              <w:left w:val="single" w:color="auto" w:sz="4" w:space="0"/>
              <w:bottom w:val="nil"/>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工程排污许可证编号</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913302127421672138001W</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验收单位</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rPr>
              <w:t>浙江</w:t>
            </w:r>
            <w:r>
              <w:rPr>
                <w:rFonts w:hint="eastAsia" w:ascii="Times New Roman" w:hAnsi="Times New Roman" w:eastAsia="宋体"/>
                <w:color w:val="auto"/>
                <w:sz w:val="18"/>
                <w:szCs w:val="18"/>
                <w:lang w:val="en-US" w:eastAsia="zh-CN"/>
              </w:rPr>
              <w:t>双源</w:t>
            </w:r>
            <w:r>
              <w:rPr>
                <w:rFonts w:hint="eastAsia" w:ascii="Times New Roman" w:hAnsi="Times New Roman" w:eastAsia="宋体"/>
                <w:color w:val="auto"/>
                <w:sz w:val="18"/>
                <w:szCs w:val="18"/>
              </w:rPr>
              <w:t>环境科技有限公司</w:t>
            </w:r>
          </w:p>
        </w:tc>
        <w:tc>
          <w:tcPr>
            <w:tcW w:w="184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环保设施监测单位</w:t>
            </w:r>
          </w:p>
        </w:tc>
        <w:tc>
          <w:tcPr>
            <w:tcW w:w="2268" w:type="dxa"/>
            <w:gridSpan w:val="2"/>
            <w:tcBorders>
              <w:top w:val="single" w:color="auto" w:sz="4" w:space="0"/>
              <w:left w:val="nil"/>
              <w:bottom w:val="single" w:color="auto" w:sz="4" w:space="0"/>
              <w:right w:val="single" w:color="auto"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eastAsia="zh-CN"/>
              </w:rPr>
              <w:t>浙江甬信检测技术有限公司</w:t>
            </w:r>
          </w:p>
        </w:tc>
        <w:tc>
          <w:tcPr>
            <w:tcW w:w="1702"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验收监测时工况</w:t>
            </w:r>
            <w:r>
              <w:rPr>
                <w:rFonts w:hint="eastAsia" w:ascii="Times New Roman" w:hAnsi="Times New Roman" w:eastAsia="宋体"/>
                <w:b/>
                <w:bCs/>
                <w:color w:val="auto"/>
                <w:sz w:val="18"/>
                <w:szCs w:val="18"/>
              </w:rPr>
              <w:t>（%）</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83</w:t>
            </w:r>
            <w:r>
              <w:rPr>
                <w:rFonts w:ascii="Times New Roman" w:hAnsi="Times New Roman" w:eastAsia="宋体"/>
                <w:color w:val="auto"/>
                <w:sz w:val="18"/>
                <w:szCs w:val="18"/>
              </w:rPr>
              <w:t>-</w:t>
            </w:r>
            <w:r>
              <w:rPr>
                <w:rFonts w:hint="eastAsia" w:ascii="Times New Roman" w:hAnsi="Times New Roman" w:eastAsia="宋体"/>
                <w:color w:val="auto"/>
                <w:sz w:val="18"/>
                <w:szCs w:val="18"/>
                <w:lang w:val="en-US" w:eastAsia="zh-CN"/>
              </w:rPr>
              <w:t>105</w:t>
            </w:r>
            <w:r>
              <w:rPr>
                <w:rFonts w:ascii="Times New Roman" w:hAnsi="Times New Roman" w:eastAsia="宋体"/>
                <w:color w:val="auto"/>
                <w:sz w:val="18"/>
                <w:szCs w:val="18"/>
              </w:rPr>
              <w:t>%</w:t>
            </w:r>
          </w:p>
        </w:tc>
      </w:tr>
      <w:tr>
        <w:tblPrEx>
          <w:tblCellMar>
            <w:top w:w="0" w:type="dxa"/>
            <w:left w:w="0" w:type="dxa"/>
            <w:bottom w:w="0" w:type="dxa"/>
            <w:right w:w="0" w:type="dxa"/>
          </w:tblCellMar>
        </w:tblPrEx>
        <w:trPr>
          <w:trHeight w:val="215"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投资总概算（万元）</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200</w:t>
            </w:r>
          </w:p>
        </w:tc>
        <w:tc>
          <w:tcPr>
            <w:tcW w:w="184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环保投资总概算（万元）</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67</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b/>
                <w:bCs/>
                <w:color w:val="auto"/>
                <w:sz w:val="18"/>
                <w:szCs w:val="18"/>
                <w:lang w:eastAsia="zh-CN"/>
              </w:rPr>
            </w:pPr>
            <w:r>
              <w:rPr>
                <w:rFonts w:ascii="Times New Roman" w:hAnsi="Times New Roman" w:eastAsia="宋体"/>
                <w:b/>
                <w:bCs/>
                <w:color w:val="auto"/>
                <w:sz w:val="18"/>
                <w:szCs w:val="18"/>
              </w:rPr>
              <w:t>所占比例</w:t>
            </w:r>
            <w:r>
              <w:rPr>
                <w:rFonts w:hint="eastAsia" w:ascii="Times New Roman" w:hAnsi="Times New Roman" w:eastAsia="宋体"/>
                <w:b/>
                <w:bCs/>
                <w:color w:val="auto"/>
                <w:sz w:val="18"/>
                <w:szCs w:val="18"/>
                <w:lang w:eastAsia="zh-CN"/>
              </w:rPr>
              <w:t>（</w:t>
            </w:r>
            <w:r>
              <w:rPr>
                <w:rFonts w:ascii="Times New Roman" w:hAnsi="Times New Roman" w:eastAsia="宋体"/>
                <w:b/>
                <w:bCs/>
                <w:color w:val="auto"/>
                <w:sz w:val="18"/>
                <w:szCs w:val="18"/>
              </w:rPr>
              <w:t>%</w:t>
            </w:r>
            <w:r>
              <w:rPr>
                <w:rFonts w:hint="eastAsia" w:ascii="Times New Roman" w:hAnsi="Times New Roman" w:eastAsia="宋体"/>
                <w:b/>
                <w:bCs/>
                <w:color w:val="auto"/>
                <w:sz w:val="18"/>
                <w:szCs w:val="18"/>
                <w:lang w:eastAsia="zh-CN"/>
              </w:rPr>
              <w:t>）</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33.5</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实际总投资（万元）</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200</w:t>
            </w:r>
          </w:p>
        </w:tc>
        <w:tc>
          <w:tcPr>
            <w:tcW w:w="184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实际环保投资（万元）</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67</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b/>
                <w:bCs/>
                <w:color w:val="auto"/>
                <w:sz w:val="18"/>
                <w:szCs w:val="18"/>
                <w:lang w:eastAsia="zh-CN"/>
              </w:rPr>
            </w:pPr>
            <w:r>
              <w:rPr>
                <w:rFonts w:ascii="Times New Roman" w:hAnsi="Times New Roman" w:eastAsia="宋体"/>
                <w:b/>
                <w:bCs/>
                <w:color w:val="auto"/>
                <w:sz w:val="18"/>
                <w:szCs w:val="18"/>
              </w:rPr>
              <w:t>所占比例</w:t>
            </w:r>
            <w:r>
              <w:rPr>
                <w:rFonts w:hint="eastAsia" w:ascii="Times New Roman" w:hAnsi="Times New Roman" w:eastAsia="宋体"/>
                <w:b/>
                <w:bCs/>
                <w:color w:val="auto"/>
                <w:sz w:val="18"/>
                <w:szCs w:val="18"/>
                <w:lang w:eastAsia="zh-CN"/>
              </w:rPr>
              <w:t>（</w:t>
            </w:r>
            <w:r>
              <w:rPr>
                <w:rFonts w:ascii="Times New Roman" w:hAnsi="Times New Roman" w:eastAsia="宋体"/>
                <w:b/>
                <w:bCs/>
                <w:color w:val="auto"/>
                <w:sz w:val="18"/>
                <w:szCs w:val="18"/>
              </w:rPr>
              <w:t>%</w:t>
            </w:r>
            <w:r>
              <w:rPr>
                <w:rFonts w:hint="eastAsia" w:ascii="Times New Roman" w:hAnsi="Times New Roman" w:eastAsia="宋体"/>
                <w:b/>
                <w:bCs/>
                <w:color w:val="auto"/>
                <w:sz w:val="18"/>
                <w:szCs w:val="18"/>
                <w:lang w:eastAsia="zh-CN"/>
              </w:rPr>
              <w:t>）</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33.5</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废水治理（万元）</w:t>
            </w:r>
          </w:p>
        </w:tc>
        <w:tc>
          <w:tcPr>
            <w:tcW w:w="453"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23</w:t>
            </w:r>
          </w:p>
        </w:tc>
        <w:tc>
          <w:tcPr>
            <w:tcW w:w="1539"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废气治理（万元）</w:t>
            </w:r>
          </w:p>
        </w:tc>
        <w:tc>
          <w:tcPr>
            <w:tcW w:w="435"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38</w:t>
            </w:r>
          </w:p>
        </w:tc>
        <w:tc>
          <w:tcPr>
            <w:tcW w:w="1349"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噪声治理（万元）</w:t>
            </w:r>
          </w:p>
        </w:tc>
        <w:tc>
          <w:tcPr>
            <w:tcW w:w="334"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w:t>
            </w:r>
          </w:p>
        </w:tc>
        <w:tc>
          <w:tcPr>
            <w:tcW w:w="184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固体废物治理（万元）</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4</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绿化及生态（万元）</w:t>
            </w:r>
          </w:p>
        </w:tc>
        <w:tc>
          <w:tcPr>
            <w:tcW w:w="395"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0</w:t>
            </w:r>
          </w:p>
        </w:tc>
        <w:tc>
          <w:tcPr>
            <w:tcW w:w="1583"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其他（万元）</w:t>
            </w:r>
          </w:p>
        </w:tc>
        <w:tc>
          <w:tcPr>
            <w:tcW w:w="483"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0</w:t>
            </w:r>
          </w:p>
        </w:tc>
      </w:tr>
      <w:tr>
        <w:tblPrEx>
          <w:tblCellMar>
            <w:top w:w="0" w:type="dxa"/>
            <w:left w:w="0" w:type="dxa"/>
            <w:bottom w:w="0" w:type="dxa"/>
            <w:right w:w="0" w:type="dxa"/>
          </w:tblCellMar>
        </w:tblPrEx>
        <w:trPr>
          <w:trHeight w:val="20" w:hRule="atLeast"/>
          <w:jc w:val="center"/>
        </w:trPr>
        <w:tc>
          <w:tcPr>
            <w:tcW w:w="330" w:type="dxa"/>
            <w:vMerge w:val="continue"/>
            <w:tcBorders>
              <w:top w:val="nil"/>
              <w:left w:val="single" w:color="auto" w:sz="4" w:space="0"/>
              <w:bottom w:val="single" w:color="000000"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326" w:type="dxa"/>
            <w:gridSpan w:val="3"/>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新增废水处理设施能力</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rPr>
              <w:t>10t/</w:t>
            </w:r>
            <w:r>
              <w:rPr>
                <w:rFonts w:hint="eastAsia" w:ascii="Times New Roman" w:hAnsi="Times New Roman" w:eastAsia="宋体"/>
                <w:color w:val="auto"/>
                <w:sz w:val="18"/>
                <w:szCs w:val="18"/>
                <w:lang w:val="en-US" w:eastAsia="zh-CN"/>
              </w:rPr>
              <w:t>d</w:t>
            </w:r>
          </w:p>
        </w:tc>
        <w:tc>
          <w:tcPr>
            <w:tcW w:w="1843" w:type="dxa"/>
            <w:gridSpan w:val="2"/>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新增废气处理设施能力</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ascii="Times New Roman" w:hAnsi="Times New Roman" w:eastAsia="宋体"/>
                <w:color w:val="auto"/>
                <w:sz w:val="18"/>
                <w:szCs w:val="18"/>
              </w:rPr>
              <w:t>/</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年平均工作时</w:t>
            </w:r>
            <w:r>
              <w:rPr>
                <w:rFonts w:hint="eastAsia" w:ascii="Times New Roman" w:hAnsi="Times New Roman" w:eastAsia="宋体"/>
                <w:b/>
                <w:bCs/>
                <w:color w:val="auto"/>
                <w:sz w:val="18"/>
                <w:szCs w:val="18"/>
              </w:rPr>
              <w:t>间</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2400</w:t>
            </w:r>
            <w:r>
              <w:rPr>
                <w:rFonts w:hint="eastAsia" w:ascii="Times New Roman" w:hAnsi="Times New Roman" w:eastAsia="宋体"/>
                <w:color w:val="auto"/>
                <w:sz w:val="18"/>
                <w:szCs w:val="18"/>
              </w:rPr>
              <w:t>h</w:t>
            </w:r>
          </w:p>
        </w:tc>
      </w:tr>
      <w:tr>
        <w:tblPrEx>
          <w:tblCellMar>
            <w:top w:w="0" w:type="dxa"/>
            <w:left w:w="0" w:type="dxa"/>
            <w:bottom w:w="0" w:type="dxa"/>
            <w:right w:w="0" w:type="dxa"/>
          </w:tblCellMar>
        </w:tblPrEx>
        <w:trPr>
          <w:trHeight w:val="20" w:hRule="atLeast"/>
          <w:jc w:val="center"/>
        </w:trPr>
        <w:tc>
          <w:tcPr>
            <w:tcW w:w="2656" w:type="dxa"/>
            <w:gridSpan w:val="4"/>
            <w:tcBorders>
              <w:top w:val="single" w:color="auto" w:sz="4" w:space="0"/>
              <w:left w:val="single" w:color="auto" w:sz="4" w:space="0"/>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运营单位</w:t>
            </w:r>
          </w:p>
        </w:tc>
        <w:tc>
          <w:tcPr>
            <w:tcW w:w="4110" w:type="dxa"/>
            <w:gridSpan w:val="7"/>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eastAsia="zh-CN"/>
              </w:rPr>
              <w:t>宁波莱堡制冷设备有限公司</w:t>
            </w:r>
          </w:p>
        </w:tc>
        <w:tc>
          <w:tcPr>
            <w:tcW w:w="1843"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运营单位社会统一信用代码（或组织机构代码）</w:t>
            </w:r>
          </w:p>
        </w:tc>
        <w:tc>
          <w:tcPr>
            <w:tcW w:w="226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color w:val="auto"/>
                <w:sz w:val="18"/>
                <w:szCs w:val="18"/>
              </w:rPr>
            </w:pPr>
            <w:r>
              <w:rPr>
                <w:rFonts w:hint="default" w:ascii="Times New Roman" w:hAnsi="Times New Roman" w:eastAsia="宋体" w:cs="Times New Roman"/>
                <w:sz w:val="21"/>
                <w:szCs w:val="21"/>
                <w:lang w:eastAsia="zh-CN"/>
              </w:rPr>
              <w:t>913302127421672138</w:t>
            </w:r>
          </w:p>
        </w:tc>
        <w:tc>
          <w:tcPr>
            <w:tcW w:w="1702"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验收时间</w:t>
            </w:r>
          </w:p>
        </w:tc>
        <w:tc>
          <w:tcPr>
            <w:tcW w:w="2461" w:type="dxa"/>
            <w:gridSpan w:val="4"/>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0000FF"/>
                <w:sz w:val="18"/>
                <w:szCs w:val="18"/>
                <w:lang w:val="en-US" w:eastAsia="zh-CN"/>
              </w:rPr>
              <w:t>2024.3.12</w:t>
            </w:r>
          </w:p>
        </w:tc>
      </w:tr>
      <w:tr>
        <w:tblPrEx>
          <w:tblCellMar>
            <w:top w:w="0" w:type="dxa"/>
            <w:left w:w="0" w:type="dxa"/>
            <w:bottom w:w="0" w:type="dxa"/>
            <w:right w:w="0" w:type="dxa"/>
          </w:tblCellMar>
        </w:tblPrEx>
        <w:trPr>
          <w:trHeight w:val="20" w:hRule="atLeast"/>
          <w:jc w:val="center"/>
        </w:trPr>
        <w:tc>
          <w:tcPr>
            <w:tcW w:w="621" w:type="dxa"/>
            <w:gridSpan w:val="2"/>
            <w:vMerge w:val="restart"/>
            <w:tcBorders>
              <w:top w:val="single" w:color="auto" w:sz="4" w:space="0"/>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污染物排放达标与总量控制（工业建设项目详填）</w:t>
            </w: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污染物</w:t>
            </w:r>
          </w:p>
        </w:tc>
        <w:tc>
          <w:tcPr>
            <w:tcW w:w="792"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原有排放量（1）</w:t>
            </w:r>
          </w:p>
        </w:tc>
        <w:tc>
          <w:tcPr>
            <w:tcW w:w="1200"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本期工程实际排放浓度（2）</w:t>
            </w:r>
          </w:p>
        </w:tc>
        <w:tc>
          <w:tcPr>
            <w:tcW w:w="1230"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本期工程允许排放浓度（3）</w:t>
            </w:r>
          </w:p>
        </w:tc>
        <w:tc>
          <w:tcPr>
            <w:tcW w:w="888"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本期工程产生量（4）</w:t>
            </w:r>
          </w:p>
        </w:tc>
        <w:tc>
          <w:tcPr>
            <w:tcW w:w="852" w:type="dxa"/>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本期工程自身削减量（5）</w:t>
            </w:r>
          </w:p>
        </w:tc>
        <w:tc>
          <w:tcPr>
            <w:tcW w:w="991"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本期工程实际排放量（6）</w:t>
            </w:r>
          </w:p>
        </w:tc>
        <w:tc>
          <w:tcPr>
            <w:tcW w:w="1284"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本期工程核定排放总量（7）</w:t>
            </w:r>
          </w:p>
        </w:tc>
        <w:tc>
          <w:tcPr>
            <w:tcW w:w="984"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本期工程</w:t>
            </w:r>
            <w:r>
              <w:rPr>
                <w:rFonts w:hint="eastAsia" w:ascii="Times New Roman" w:hAnsi="Times New Roman" w:eastAsia="宋体"/>
                <w:b/>
                <w:bCs/>
                <w:color w:val="auto"/>
                <w:sz w:val="18"/>
                <w:szCs w:val="18"/>
                <w:lang w:eastAsia="zh-CN"/>
              </w:rPr>
              <w:t>”</w:t>
            </w:r>
            <w:r>
              <w:rPr>
                <w:rFonts w:ascii="Times New Roman" w:hAnsi="Times New Roman" w:eastAsia="宋体"/>
                <w:b/>
                <w:bCs/>
                <w:color w:val="auto"/>
                <w:sz w:val="18"/>
                <w:szCs w:val="18"/>
              </w:rPr>
              <w:t>以新带老</w:t>
            </w:r>
            <w:r>
              <w:rPr>
                <w:rFonts w:hint="eastAsia" w:ascii="Times New Roman" w:hAnsi="Times New Roman" w:eastAsia="宋体"/>
                <w:b/>
                <w:bCs/>
                <w:color w:val="auto"/>
                <w:sz w:val="18"/>
                <w:szCs w:val="18"/>
                <w:lang w:eastAsia="zh-CN"/>
              </w:rPr>
              <w:t>”</w:t>
            </w:r>
            <w:r>
              <w:rPr>
                <w:rFonts w:ascii="Times New Roman" w:hAnsi="Times New Roman" w:eastAsia="宋体"/>
                <w:b/>
                <w:bCs/>
                <w:color w:val="auto"/>
                <w:sz w:val="18"/>
                <w:szCs w:val="18"/>
              </w:rPr>
              <w:t>削减量（8）</w:t>
            </w:r>
          </w:p>
        </w:tc>
        <w:tc>
          <w:tcPr>
            <w:tcW w:w="1077"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全厂实际排放总量（9）</w:t>
            </w:r>
          </w:p>
        </w:tc>
        <w:tc>
          <w:tcPr>
            <w:tcW w:w="1020"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全厂核定排放总量（10）</w:t>
            </w:r>
          </w:p>
        </w:tc>
        <w:tc>
          <w:tcPr>
            <w:tcW w:w="1022" w:type="dxa"/>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区域平衡替代削减量（11）</w:t>
            </w:r>
          </w:p>
        </w:tc>
        <w:tc>
          <w:tcPr>
            <w:tcW w:w="1044" w:type="dxa"/>
            <w:gridSpan w:val="2"/>
            <w:tcBorders>
              <w:top w:val="nil"/>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排放增减量（12）</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废水（万吨/年）</w:t>
            </w:r>
          </w:p>
        </w:tc>
        <w:tc>
          <w:tcPr>
            <w:tcW w:w="792"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0.12</w:t>
            </w:r>
          </w:p>
        </w:tc>
        <w:tc>
          <w:tcPr>
            <w:tcW w:w="1200"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0.22071</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0.22071</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0.</w:t>
            </w:r>
            <w:r>
              <w:rPr>
                <w:rFonts w:hint="eastAsia" w:ascii="Times New Roman" w:hAnsi="Times New Roman" w:eastAsia="宋体"/>
                <w:color w:val="auto"/>
                <w:sz w:val="18"/>
                <w:szCs w:val="18"/>
              </w:rPr>
              <w:t>34071</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0.</w:t>
            </w:r>
            <w:r>
              <w:rPr>
                <w:rFonts w:hint="eastAsia" w:ascii="Times New Roman" w:hAnsi="Times New Roman" w:eastAsia="宋体"/>
                <w:color w:val="auto"/>
                <w:sz w:val="18"/>
                <w:szCs w:val="18"/>
              </w:rPr>
              <w:t>34071</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+0.22071</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化学需氧量</w:t>
            </w:r>
          </w:p>
        </w:tc>
        <w:tc>
          <w:tcPr>
            <w:tcW w:w="792"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0.072</w:t>
            </w:r>
          </w:p>
        </w:tc>
        <w:tc>
          <w:tcPr>
            <w:tcW w:w="1200"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lang w:val="en-US" w:eastAsia="zh-CN"/>
              </w:rPr>
              <w:t>0.088</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0.088</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0.16</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0.088</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lang w:val="en-US" w:eastAsia="zh-CN"/>
              </w:rPr>
              <w:t>+0.088</w:t>
            </w:r>
          </w:p>
        </w:tc>
      </w:tr>
      <w:tr>
        <w:tblPrEx>
          <w:tblCellMar>
            <w:top w:w="0" w:type="dxa"/>
            <w:left w:w="0" w:type="dxa"/>
            <w:bottom w:w="0" w:type="dxa"/>
            <w:right w:w="0" w:type="dxa"/>
          </w:tblCellMar>
        </w:tblPrEx>
        <w:trPr>
          <w:trHeight w:val="172"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氨氮</w:t>
            </w:r>
          </w:p>
        </w:tc>
        <w:tc>
          <w:tcPr>
            <w:tcW w:w="792"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0.01</w:t>
            </w:r>
          </w:p>
        </w:tc>
        <w:tc>
          <w:tcPr>
            <w:tcW w:w="1200"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lang w:val="en-US" w:eastAsia="zh-CN"/>
              </w:rPr>
              <w:t>0.0044</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0.0044</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0.0144</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0.0144</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0.0044</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lang w:val="en-US" w:eastAsia="zh-CN"/>
              </w:rPr>
              <w:t>+0.0044</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废气</w:t>
            </w:r>
          </w:p>
        </w:tc>
        <w:tc>
          <w:tcPr>
            <w:tcW w:w="792" w:type="dxa"/>
            <w:gridSpan w:val="2"/>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00"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nil"/>
              <w:bottom w:val="single" w:color="auto" w:sz="4" w:space="0"/>
              <w:right w:val="single" w:color="000000"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84"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84"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20" w:type="dxa"/>
            <w:gridSpan w:val="2"/>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22" w:type="dxa"/>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44" w:type="dxa"/>
            <w:gridSpan w:val="2"/>
            <w:tcBorders>
              <w:top w:val="nil"/>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rPr>
              <w:t>/</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二氧化硫</w:t>
            </w:r>
          </w:p>
        </w:tc>
        <w:tc>
          <w:tcPr>
            <w:tcW w:w="792" w:type="dxa"/>
            <w:gridSpan w:val="2"/>
            <w:tcBorders>
              <w:top w:val="nil"/>
              <w:left w:val="nil"/>
              <w:bottom w:val="nil"/>
              <w:right w:val="single" w:color="auto" w:sz="4" w:space="0"/>
            </w:tcBorders>
            <w:noWrap w:val="0"/>
            <w:vAlign w:val="top"/>
          </w:tcPr>
          <w:p>
            <w:pPr>
              <w:adjustRightInd/>
              <w:snapToGrid/>
              <w:spacing w:after="0" w:line="240" w:lineRule="atLeas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0</w:t>
            </w:r>
          </w:p>
        </w:tc>
        <w:tc>
          <w:tcPr>
            <w:tcW w:w="1200" w:type="dxa"/>
            <w:tcBorders>
              <w:top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rPr>
            </w:pPr>
            <w:r>
              <w:rPr>
                <w:rFonts w:hint="eastAsia" w:ascii="Times New Roman" w:hAnsi="Times New Roman" w:eastAsia="宋体" w:cs="Times New Roman"/>
                <w:color w:val="auto"/>
                <w:sz w:val="21"/>
                <w:szCs w:val="21"/>
                <w:lang w:val="en-US" w:eastAsia="zh-CN"/>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0.004</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0.004</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0.02</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0.04</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s="Times New Roman"/>
                <w:color w:val="auto"/>
                <w:sz w:val="18"/>
                <w:szCs w:val="18"/>
                <w:lang w:val="en-US" w:eastAsia="zh-CN" w:bidi="ar-SA"/>
              </w:rPr>
            </w:pPr>
            <w:r>
              <w:rPr>
                <w:rFonts w:hint="eastAsia" w:ascii="Times New Roman" w:hAnsi="Times New Roman" w:eastAsia="宋体"/>
                <w:bCs/>
                <w:color w:val="auto"/>
                <w:kern w:val="2"/>
                <w:sz w:val="21"/>
                <w:szCs w:val="21"/>
                <w:lang w:val="en-US" w:eastAsia="zh-CN"/>
              </w:rPr>
              <w:t>+0.004</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hint="eastAsia" w:ascii="Times New Roman" w:hAnsi="Times New Roman" w:eastAsia="宋体"/>
                <w:b/>
                <w:bCs/>
                <w:color w:val="auto"/>
                <w:sz w:val="18"/>
                <w:szCs w:val="18"/>
                <w:lang w:eastAsia="zh-CN"/>
              </w:rPr>
            </w:pPr>
            <w:r>
              <w:rPr>
                <w:rFonts w:hint="eastAsia" w:ascii="Times New Roman" w:hAnsi="Times New Roman" w:eastAsia="宋体"/>
                <w:b/>
                <w:bCs/>
                <w:color w:val="auto"/>
                <w:sz w:val="18"/>
                <w:szCs w:val="18"/>
                <w:lang w:val="en-US" w:eastAsia="zh-CN"/>
              </w:rPr>
              <w:t>颗粒物</w:t>
            </w:r>
          </w:p>
        </w:tc>
        <w:tc>
          <w:tcPr>
            <w:tcW w:w="792"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0.011</w:t>
            </w:r>
          </w:p>
        </w:tc>
        <w:tc>
          <w:tcPr>
            <w:tcW w:w="1200" w:type="dxa"/>
            <w:tcBorders>
              <w:top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0.376</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0.907</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0.387</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lang w:val="en-US" w:eastAsia="zh-CN"/>
              </w:rPr>
              <w:t>1.031</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0.907</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s="Times New Roman"/>
                <w:color w:val="auto"/>
                <w:sz w:val="18"/>
                <w:szCs w:val="18"/>
                <w:lang w:val="en-US" w:eastAsia="zh-CN" w:bidi="ar-SA"/>
              </w:rPr>
            </w:pPr>
            <w:r>
              <w:rPr>
                <w:rFonts w:hint="eastAsia" w:ascii="Times New Roman" w:hAnsi="Times New Roman" w:eastAsia="宋体"/>
                <w:bCs/>
                <w:color w:val="auto"/>
                <w:kern w:val="2"/>
                <w:sz w:val="21"/>
                <w:szCs w:val="21"/>
                <w:lang w:val="en-US" w:eastAsia="zh-CN"/>
              </w:rPr>
              <w:t>+0.376</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氮氧化物</w:t>
            </w:r>
          </w:p>
        </w:tc>
        <w:tc>
          <w:tcPr>
            <w:tcW w:w="792" w:type="dxa"/>
            <w:gridSpan w:val="2"/>
            <w:tcBorders>
              <w:top w:val="nil"/>
              <w:left w:val="nil"/>
              <w:bottom w:val="nil"/>
              <w:right w:val="single" w:color="auto" w:sz="4" w:space="0"/>
            </w:tcBorders>
            <w:noWrap w:val="0"/>
            <w:vAlign w:val="top"/>
          </w:tcPr>
          <w:p>
            <w:pPr>
              <w:adjustRightInd/>
              <w:snapToGrid/>
              <w:spacing w:after="0" w:line="240" w:lineRule="atLeast"/>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0</w:t>
            </w:r>
          </w:p>
        </w:tc>
        <w:tc>
          <w:tcPr>
            <w:tcW w:w="1200"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0.004</w:t>
            </w:r>
          </w:p>
        </w:tc>
        <w:tc>
          <w:tcPr>
            <w:tcW w:w="12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0.094</w:t>
            </w:r>
          </w:p>
        </w:tc>
        <w:tc>
          <w:tcPr>
            <w:tcW w:w="984"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0.004</w:t>
            </w:r>
          </w:p>
        </w:tc>
        <w:tc>
          <w:tcPr>
            <w:tcW w:w="1020"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0.094</w:t>
            </w:r>
          </w:p>
        </w:tc>
        <w:tc>
          <w:tcPr>
            <w:tcW w:w="1022" w:type="dxa"/>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0.188</w:t>
            </w:r>
          </w:p>
        </w:tc>
        <w:tc>
          <w:tcPr>
            <w:tcW w:w="1044" w:type="dxa"/>
            <w:gridSpan w:val="2"/>
            <w:tcBorders>
              <w:top w:val="single" w:color="auto" w:sz="4" w:space="0"/>
              <w:left w:val="single" w:color="auto" w:sz="4" w:space="0"/>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s="Times New Roman"/>
                <w:color w:val="auto"/>
                <w:sz w:val="18"/>
                <w:szCs w:val="18"/>
                <w:lang w:val="en-US" w:eastAsia="zh-CN" w:bidi="ar-SA"/>
              </w:rPr>
            </w:pPr>
            <w:r>
              <w:rPr>
                <w:rFonts w:hint="eastAsia" w:ascii="Times New Roman" w:hAnsi="Times New Roman" w:eastAsia="宋体"/>
                <w:bCs/>
                <w:color w:val="auto"/>
                <w:kern w:val="2"/>
                <w:sz w:val="21"/>
                <w:szCs w:val="21"/>
                <w:lang w:val="en-US" w:eastAsia="zh-CN"/>
              </w:rPr>
              <w:t>+0.004</w:t>
            </w:r>
          </w:p>
        </w:tc>
      </w:tr>
      <w:tr>
        <w:tblPrEx>
          <w:tblCellMar>
            <w:top w:w="0" w:type="dxa"/>
            <w:left w:w="0" w:type="dxa"/>
            <w:bottom w:w="0" w:type="dxa"/>
            <w:right w:w="0" w:type="dxa"/>
          </w:tblCellMar>
        </w:tblPrEx>
        <w:trPr>
          <w:trHeight w:val="20"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2035" w:type="dxa"/>
            <w:gridSpan w:val="2"/>
            <w:tcBorders>
              <w:top w:val="single" w:color="auto" w:sz="4" w:space="0"/>
              <w:left w:val="nil"/>
              <w:bottom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工业固体废物</w:t>
            </w:r>
          </w:p>
        </w:tc>
        <w:tc>
          <w:tcPr>
            <w:tcW w:w="792"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00"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nil"/>
              <w:bottom w:val="single" w:color="auto" w:sz="4" w:space="0"/>
              <w:right w:val="single" w:color="000000"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84"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84"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20"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22" w:type="dxa"/>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44" w:type="dxa"/>
            <w:gridSpan w:val="2"/>
            <w:tcBorders>
              <w:top w:val="single" w:color="auto" w:sz="4" w:space="0"/>
              <w:left w:val="nil"/>
              <w:bottom w:val="single" w:color="auto" w:sz="4" w:space="0"/>
              <w:right w:val="single" w:color="auto" w:sz="4" w:space="0"/>
            </w:tcBorders>
            <w:noWrap w:val="0"/>
            <w:vAlign w:val="top"/>
          </w:tcPr>
          <w:p>
            <w:pPr>
              <w:adjustRightInd/>
              <w:snapToGrid/>
              <w:spacing w:after="0" w:line="240" w:lineRule="atLeast"/>
              <w:jc w:val="center"/>
              <w:rPr>
                <w:rFonts w:ascii="Times New Roman" w:hAnsi="Times New Roman" w:eastAsia="宋体" w:cs="Times New Roman"/>
                <w:color w:val="auto"/>
                <w:sz w:val="18"/>
                <w:szCs w:val="18"/>
                <w:lang w:val="en-US" w:eastAsia="zh-CN" w:bidi="ar-SA"/>
              </w:rPr>
            </w:pPr>
            <w:r>
              <w:rPr>
                <w:rFonts w:hint="eastAsia" w:ascii="Times New Roman" w:hAnsi="Times New Roman" w:eastAsia="宋体"/>
                <w:color w:val="auto"/>
                <w:sz w:val="18"/>
                <w:szCs w:val="18"/>
              </w:rPr>
              <w:t>/</w:t>
            </w:r>
          </w:p>
        </w:tc>
      </w:tr>
      <w:tr>
        <w:tblPrEx>
          <w:tblCellMar>
            <w:top w:w="0" w:type="dxa"/>
            <w:left w:w="0" w:type="dxa"/>
            <w:bottom w:w="0" w:type="dxa"/>
            <w:right w:w="0" w:type="dxa"/>
          </w:tblCellMar>
        </w:tblPrEx>
        <w:trPr>
          <w:trHeight w:val="445" w:hRule="atLeast"/>
          <w:jc w:val="center"/>
        </w:trPr>
        <w:tc>
          <w:tcPr>
            <w:tcW w:w="621" w:type="dxa"/>
            <w:gridSpan w:val="2"/>
            <w:vMerge w:val="continue"/>
            <w:tcBorders>
              <w:left w:val="single" w:color="auto" w:sz="4" w:space="0"/>
              <w:right w:val="single" w:color="000000"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p>
        </w:tc>
        <w:tc>
          <w:tcPr>
            <w:tcW w:w="1293" w:type="dxa"/>
            <w:tcBorders>
              <w:top w:val="nil"/>
              <w:left w:val="single" w:color="auto" w:sz="4" w:space="0"/>
              <w:right w:val="single" w:color="auto" w:sz="4" w:space="0"/>
            </w:tcBorders>
            <w:noWrap w:val="0"/>
            <w:vAlign w:val="center"/>
          </w:tcPr>
          <w:p>
            <w:pPr>
              <w:adjustRightInd/>
              <w:snapToGrid/>
              <w:spacing w:after="0" w:line="240" w:lineRule="exact"/>
              <w:jc w:val="center"/>
              <w:rPr>
                <w:rFonts w:ascii="Times New Roman" w:hAnsi="Times New Roman" w:eastAsia="宋体"/>
                <w:b/>
                <w:bCs/>
                <w:color w:val="auto"/>
                <w:sz w:val="18"/>
                <w:szCs w:val="18"/>
              </w:rPr>
            </w:pPr>
            <w:r>
              <w:rPr>
                <w:rFonts w:ascii="Times New Roman" w:hAnsi="Times New Roman" w:eastAsia="宋体"/>
                <w:b/>
                <w:bCs/>
                <w:color w:val="auto"/>
                <w:sz w:val="18"/>
                <w:szCs w:val="18"/>
              </w:rPr>
              <w:t>与项目有关的其他特征污染物</w:t>
            </w:r>
          </w:p>
        </w:tc>
        <w:tc>
          <w:tcPr>
            <w:tcW w:w="742" w:type="dxa"/>
            <w:tcBorders>
              <w:top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b/>
                <w:bCs/>
                <w:color w:val="auto"/>
                <w:sz w:val="18"/>
                <w:szCs w:val="18"/>
              </w:rPr>
            </w:pPr>
            <w:r>
              <w:rPr>
                <w:rFonts w:ascii="Times New Roman" w:hAnsi="Times New Roman" w:eastAsia="宋体"/>
                <w:b/>
                <w:bCs/>
                <w:color w:val="auto"/>
                <w:sz w:val="18"/>
                <w:szCs w:val="18"/>
              </w:rPr>
              <w:t>VOC</w:t>
            </w:r>
          </w:p>
        </w:tc>
        <w:tc>
          <w:tcPr>
            <w:tcW w:w="7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0.456</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230" w:type="dxa"/>
            <w:gridSpan w:val="2"/>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88" w:type="dxa"/>
            <w:gridSpan w:val="2"/>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852"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bCs/>
                <w:color w:val="auto"/>
                <w:kern w:val="2"/>
                <w:sz w:val="21"/>
                <w:szCs w:val="21"/>
                <w:lang w:val="en-US" w:eastAsia="zh-CN"/>
              </w:rPr>
              <w:t>0.42</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0.45</w:t>
            </w:r>
          </w:p>
        </w:tc>
        <w:tc>
          <w:tcPr>
            <w:tcW w:w="984"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ascii="Times New Roman" w:hAnsi="Times New Roman" w:eastAsia="宋体"/>
                <w:color w:val="auto"/>
                <w:sz w:val="18"/>
                <w:szCs w:val="18"/>
              </w:rPr>
            </w:pPr>
            <w:r>
              <w:rPr>
                <w:rFonts w:hint="eastAsia" w:ascii="Times New Roman" w:hAnsi="Times New Roman" w:eastAsia="宋体"/>
                <w:color w:val="auto"/>
                <w:sz w:val="18"/>
                <w:szCs w:val="18"/>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0.876</w:t>
            </w:r>
          </w:p>
        </w:tc>
        <w:tc>
          <w:tcPr>
            <w:tcW w:w="1020" w:type="dxa"/>
            <w:gridSpan w:val="2"/>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0.906</w:t>
            </w:r>
          </w:p>
        </w:tc>
        <w:tc>
          <w:tcPr>
            <w:tcW w:w="1022"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bCs/>
                <w:color w:val="auto"/>
                <w:kern w:val="2"/>
                <w:sz w:val="21"/>
                <w:szCs w:val="21"/>
                <w:lang w:val="en-US" w:eastAsia="zh-CN"/>
              </w:rPr>
              <w:t>0.45</w:t>
            </w:r>
          </w:p>
        </w:tc>
        <w:tc>
          <w:tcPr>
            <w:tcW w:w="1044" w:type="dxa"/>
            <w:gridSpan w:val="2"/>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line="240" w:lineRule="atLeast"/>
              <w:jc w:val="center"/>
              <w:rPr>
                <w:rFonts w:hint="default" w:ascii="Times New Roman" w:hAnsi="Times New Roman" w:eastAsia="宋体"/>
                <w:color w:val="auto"/>
                <w:sz w:val="18"/>
                <w:szCs w:val="18"/>
                <w:lang w:val="en-US"/>
              </w:rPr>
            </w:pPr>
            <w:r>
              <w:rPr>
                <w:rFonts w:hint="eastAsia" w:ascii="Times New Roman" w:hAnsi="Times New Roman" w:eastAsia="宋体"/>
                <w:bCs/>
                <w:color w:val="auto"/>
                <w:kern w:val="2"/>
                <w:sz w:val="21"/>
                <w:szCs w:val="21"/>
                <w:lang w:val="en-US" w:eastAsia="zh-CN"/>
              </w:rPr>
              <w:t>+0.42</w:t>
            </w:r>
          </w:p>
        </w:tc>
      </w:tr>
      <w:tr>
        <w:tblPrEx>
          <w:tblCellMar>
            <w:top w:w="0" w:type="dxa"/>
            <w:left w:w="0" w:type="dxa"/>
            <w:bottom w:w="0" w:type="dxa"/>
            <w:right w:w="0" w:type="dxa"/>
          </w:tblCellMar>
        </w:tblPrEx>
        <w:trPr>
          <w:trHeight w:val="20" w:hRule="atLeast"/>
          <w:jc w:val="center"/>
        </w:trPr>
        <w:tc>
          <w:tcPr>
            <w:tcW w:w="15040" w:type="dxa"/>
            <w:gridSpan w:val="21"/>
            <w:tcBorders>
              <w:top w:val="single" w:color="auto" w:sz="4" w:space="0"/>
              <w:left w:val="nil"/>
              <w:bottom w:val="nil"/>
              <w:right w:val="nil"/>
            </w:tcBorders>
            <w:noWrap w:val="0"/>
            <w:vAlign w:val="center"/>
          </w:tcPr>
          <w:p>
            <w:pPr>
              <w:adjustRightInd/>
              <w:snapToGrid/>
              <w:spacing w:after="0" w:line="240" w:lineRule="atLeast"/>
              <w:jc w:val="both"/>
              <w:rPr>
                <w:rFonts w:ascii="Times New Roman" w:hAnsi="Times New Roman" w:eastAsia="宋体"/>
                <w:color w:val="auto"/>
                <w:sz w:val="13"/>
                <w:szCs w:val="13"/>
              </w:rPr>
            </w:pPr>
            <w:r>
              <w:rPr>
                <w:rFonts w:ascii="Times New Roman" w:hAnsi="Times New Roman" w:eastAsia="宋体"/>
                <w:b/>
                <w:bCs/>
                <w:color w:val="auto"/>
                <w:sz w:val="13"/>
                <w:szCs w:val="13"/>
              </w:rPr>
              <w:t>注：</w:t>
            </w:r>
            <w:r>
              <w:rPr>
                <w:rFonts w:ascii="Times New Roman" w:hAnsi="Times New Roman" w:eastAsia="宋体"/>
                <w:color w:val="auto"/>
                <w:sz w:val="13"/>
                <w:szCs w:val="13"/>
              </w:rPr>
              <w:t>1、排放增减量：</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表示增加，（一）表示减少。2、</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12</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6</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8</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-（11），</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9</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4</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5</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8</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11</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1</w:t>
            </w:r>
            <w:r>
              <w:rPr>
                <w:rFonts w:hint="eastAsia" w:ascii="Times New Roman" w:hAnsi="Times New Roman" w:eastAsia="宋体"/>
                <w:color w:val="auto"/>
                <w:sz w:val="13"/>
                <w:szCs w:val="13"/>
                <w:lang w:eastAsia="zh-CN"/>
              </w:rPr>
              <w:t>）</w:t>
            </w:r>
            <w:r>
              <w:rPr>
                <w:rFonts w:ascii="Times New Roman" w:hAnsi="Times New Roman" w:eastAsia="宋体"/>
                <w:color w:val="auto"/>
                <w:sz w:val="13"/>
                <w:szCs w:val="13"/>
              </w:rPr>
              <w:t>。3、计量单位：废水排放量——万吨，年：废气排放量——万标立方米／年：工业固体废物排放量——万吨／年</w:t>
            </w:r>
            <w:r>
              <w:rPr>
                <w:rFonts w:hint="eastAsia" w:ascii="Times New Roman" w:hAnsi="Times New Roman" w:eastAsia="宋体"/>
                <w:color w:val="auto"/>
                <w:sz w:val="13"/>
                <w:szCs w:val="13"/>
              </w:rPr>
              <w:t>；</w:t>
            </w:r>
            <w:r>
              <w:rPr>
                <w:rFonts w:ascii="Times New Roman" w:hAnsi="Times New Roman" w:eastAsia="宋体"/>
                <w:color w:val="auto"/>
                <w:sz w:val="13"/>
                <w:szCs w:val="13"/>
              </w:rPr>
              <w:t>水污染物排放浓度——毫克／升</w:t>
            </w:r>
            <w:r>
              <w:rPr>
                <w:rFonts w:hint="eastAsia" w:ascii="Times New Roman" w:hAnsi="Times New Roman" w:eastAsia="宋体"/>
                <w:color w:val="auto"/>
                <w:sz w:val="13"/>
                <w:szCs w:val="13"/>
              </w:rPr>
              <w:t>；大气污染物排放浓度</w:t>
            </w:r>
            <w:r>
              <w:rPr>
                <w:rFonts w:ascii="Times New Roman" w:hAnsi="Times New Roman" w:eastAsia="宋体"/>
                <w:color w:val="auto"/>
                <w:sz w:val="13"/>
                <w:szCs w:val="13"/>
              </w:rPr>
              <w:t>——</w:t>
            </w:r>
            <w:r>
              <w:rPr>
                <w:rFonts w:hint="eastAsia" w:ascii="Times New Roman" w:hAnsi="Times New Roman" w:eastAsia="宋体"/>
                <w:color w:val="auto"/>
                <w:sz w:val="13"/>
                <w:szCs w:val="13"/>
              </w:rPr>
              <w:t>吨/年</w:t>
            </w:r>
          </w:p>
        </w:tc>
      </w:tr>
      <w:tr>
        <w:tblPrEx>
          <w:tblCellMar>
            <w:top w:w="0" w:type="dxa"/>
            <w:left w:w="0" w:type="dxa"/>
            <w:bottom w:w="0" w:type="dxa"/>
            <w:right w:w="0" w:type="dxa"/>
          </w:tblCellMar>
        </w:tblPrEx>
        <w:trPr>
          <w:trHeight w:val="80" w:hRule="atLeast"/>
          <w:jc w:val="center"/>
        </w:trPr>
        <w:tc>
          <w:tcPr>
            <w:tcW w:w="15040" w:type="dxa"/>
            <w:gridSpan w:val="21"/>
            <w:tcBorders>
              <w:top w:val="nil"/>
              <w:left w:val="nil"/>
              <w:bottom w:val="nil"/>
              <w:right w:val="nil"/>
            </w:tcBorders>
            <w:noWrap w:val="0"/>
            <w:vAlign w:val="center"/>
          </w:tcPr>
          <w:p>
            <w:pPr>
              <w:widowControl w:val="0"/>
              <w:adjustRightInd/>
              <w:snapToGrid/>
              <w:spacing w:after="0"/>
              <w:jc w:val="both"/>
              <w:rPr>
                <w:rFonts w:ascii="Times New Roman" w:hAnsi="Times New Roman" w:eastAsia="宋体"/>
                <w:color w:val="auto"/>
                <w:kern w:val="2"/>
                <w:sz w:val="15"/>
                <w:szCs w:val="15"/>
              </w:rPr>
            </w:pPr>
            <w:r>
              <w:rPr>
                <w:rFonts w:ascii="Times New Roman" w:hAnsi="Times New Roman" w:eastAsia="宋体"/>
                <w:color w:val="auto"/>
                <w:kern w:val="2"/>
                <w:sz w:val="15"/>
                <w:szCs w:val="15"/>
              </w:rPr>
              <w:t>注：填写时应简明扼要、突出重点</w:t>
            </w:r>
          </w:p>
        </w:tc>
      </w:tr>
    </w:tbl>
    <w:p>
      <w:pPr>
        <w:rPr>
          <w:rFonts w:hint="eastAsia" w:eastAsia="微软雅黑"/>
          <w:lang w:eastAsia="zh-CN"/>
        </w:rPr>
      </w:pPr>
    </w:p>
    <w:sectPr>
      <w:pgSz w:w="16838" w:h="11906" w:orient="landscape"/>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60" w:firstLine="360"/>
      <w:jc w:val="center"/>
      <w:rPr>
        <w:rFonts w:hint="eastAsia" w:eastAsia="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60" w:firstLine="360"/>
      <w:jc w:val="center"/>
      <w:rPr>
        <w:rFonts w:hint="eastAsia" w:eastAsia="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ind w:right="360" w:firstLine="360"/>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ind w:right="360" w:firstLine="360"/>
      <w:jc w:val="both"/>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rPr>
                              <w:rFonts w:ascii="Times New Roman" w:hAnsi="Times New Roman" w:eastAsia="微软雅黑"/>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17</w:t>
                          </w:r>
                          <w:r>
                            <w:rPr>
                              <w:rFonts w:ascii="Times New Roman" w:hAnsi="Times New Roman"/>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JybZn2AEAALQDAAAOAAAAAAAAAAEAIAAA&#10;AB4BAABkcnMvZTJvRG9jLnhtbFBLBQYAAAAABgAGAFkBAABoBQAAAAA=&#10;">
              <v:fill on="f" focussize="0,0"/>
              <v:stroke on="f"/>
              <v:imagedata o:title=""/>
              <o:lock v:ext="edit" aspectratio="f"/>
              <v:textbox inset="0mm,0mm,0mm,0mm" style="mso-fit-shape-to-text:t;">
                <w:txbxContent>
                  <w:p>
                    <w:pPr>
                      <w:pStyle w:val="7"/>
                      <w:rPr>
                        <w:rFonts w:ascii="Times New Roman" w:hAnsi="Times New Roman" w:eastAsia="微软雅黑"/>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17</w:t>
                    </w:r>
                    <w:r>
                      <w:rPr>
                        <w:rFonts w:ascii="Times New Roman" w:hAnsi="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1DF81"/>
    <w:multiLevelType w:val="singleLevel"/>
    <w:tmpl w:val="CE91DF8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hOGQ5NDdlMzcwM2YyZDM2ODgyMGJkZWNlZjczMDQifQ=="/>
  </w:docVars>
  <w:rsids>
    <w:rsidRoot w:val="00000000"/>
    <w:rsid w:val="0A0F2E11"/>
    <w:rsid w:val="16EC2ABA"/>
    <w:rsid w:val="22BE6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qFormat/>
    <w:uiPriority w:val="0"/>
    <w:pPr>
      <w:keepNext/>
      <w:keepLines/>
      <w:spacing w:before="100" w:beforeLines="0" w:beforeAutospacing="0" w:afterLines="0" w:afterAutospacing="0" w:line="240" w:lineRule="auto"/>
      <w:outlineLvl w:val="0"/>
    </w:pPr>
    <w:rPr>
      <w:b/>
      <w:kern w:val="44"/>
      <w:sz w:val="30"/>
    </w:rPr>
  </w:style>
  <w:style w:type="paragraph" w:styleId="4">
    <w:name w:val="heading 2"/>
    <w:basedOn w:val="1"/>
    <w:next w:val="5"/>
    <w:qFormat/>
    <w:uiPriority w:val="9"/>
    <w:pPr>
      <w:keepNext/>
      <w:keepLines/>
      <w:adjustRightInd w:val="0"/>
      <w:snapToGrid w:val="0"/>
      <w:spacing w:line="360" w:lineRule="auto"/>
      <w:outlineLvl w:val="1"/>
    </w:pPr>
    <w:rPr>
      <w:rFonts w:ascii="Cambria" w:hAnsi="Cambria" w:eastAsia="Times New Roman" w:cs="Times New Roman"/>
      <w:b/>
      <w:bCs/>
      <w:sz w:val="28"/>
      <w:szCs w:val="32"/>
    </w:rPr>
  </w:style>
  <w:style w:type="character" w:default="1" w:styleId="13">
    <w:name w:val="Default Paragraph Font"/>
    <w:semiHidden/>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unhideWhenUsed/>
    <w:qFormat/>
    <w:uiPriority w:val="0"/>
    <w:pPr>
      <w:spacing w:beforeLines="0" w:after="120" w:afterLines="0"/>
    </w:pPr>
    <w:rPr>
      <w:rFonts w:hint="default" w:ascii="Calibri" w:hAnsi="Calibri"/>
      <w:sz w:val="21"/>
    </w:rPr>
  </w:style>
  <w:style w:type="paragraph" w:customStyle="1" w:styleId="5">
    <w:name w:val="正文首行缩进 2 + Times New Roman"/>
    <w:basedOn w:val="1"/>
    <w:qFormat/>
    <w:uiPriority w:val="0"/>
    <w:pPr>
      <w:autoSpaceDE w:val="0"/>
      <w:autoSpaceDN w:val="0"/>
      <w:spacing w:line="360" w:lineRule="auto"/>
      <w:ind w:firstLine="480" w:firstLineChars="200"/>
    </w:pPr>
    <w:rPr>
      <w:kern w:val="0"/>
      <w:sz w:val="24"/>
    </w:rPr>
  </w:style>
  <w:style w:type="paragraph" w:styleId="6">
    <w:name w:val="Plain Text"/>
    <w:basedOn w:val="1"/>
    <w:unhideWhenUsed/>
    <w:qFormat/>
    <w:uiPriority w:val="0"/>
    <w:pPr>
      <w:spacing w:beforeLines="0" w:afterLines="0"/>
    </w:pPr>
    <w:rPr>
      <w:rFonts w:hint="eastAsia" w:ascii="宋体" w:hAnsi="Courier New"/>
      <w:kern w:val="0"/>
      <w:sz w:val="20"/>
    </w:rPr>
  </w:style>
  <w:style w:type="paragraph" w:styleId="7">
    <w:name w:val="footer"/>
    <w:basedOn w:val="1"/>
    <w:qFormat/>
    <w:uiPriority w:val="0"/>
    <w:pPr>
      <w:tabs>
        <w:tab w:val="center" w:pos="4153"/>
        <w:tab w:val="right" w:pos="8306"/>
      </w:tabs>
    </w:pPr>
    <w:rPr>
      <w:rFonts w:eastAsia="宋体"/>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Normal (Web)"/>
    <w:basedOn w:val="1"/>
    <w:qFormat/>
    <w:uiPriority w:val="0"/>
    <w:rPr>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头"/>
    <w:basedOn w:val="1"/>
    <w:autoRedefine/>
    <w:qFormat/>
    <w:uiPriority w:val="0"/>
    <w:pPr>
      <w:spacing w:line="440" w:lineRule="exact"/>
      <w:jc w:val="center"/>
    </w:pPr>
    <w:rPr>
      <w:rFonts w:ascii="Calibri" w:hAnsi="Calibri" w:eastAsia="仿宋" w:cs="Times New Roman"/>
      <w:b/>
      <w:szCs w:val="24"/>
    </w:rPr>
  </w:style>
  <w:style w:type="paragraph" w:customStyle="1" w:styleId="15">
    <w:name w:val="Table Paragraph"/>
    <w:basedOn w:val="1"/>
    <w:autoRedefine/>
    <w:qFormat/>
    <w:uiPriority w:val="1"/>
    <w:pPr>
      <w:autoSpaceDE w:val="0"/>
      <w:autoSpaceDN w:val="0"/>
      <w:jc w:val="center"/>
    </w:pPr>
    <w:rPr>
      <w:rFonts w:ascii="宋体" w:hAnsi="宋体" w:cs="宋体"/>
      <w:kern w:val="0"/>
      <w:sz w:val="22"/>
      <w:lang w:eastAsia="en-US"/>
    </w:rPr>
  </w:style>
  <w:style w:type="paragraph" w:customStyle="1" w:styleId="16">
    <w:name w:val="表内文字"/>
    <w:basedOn w:val="1"/>
    <w:qFormat/>
    <w:uiPriority w:val="0"/>
    <w:pPr>
      <w:adjustRightInd w:val="0"/>
      <w:spacing w:line="400" w:lineRule="exact"/>
      <w:jc w:val="center"/>
      <w:textAlignment w:val="baseline"/>
    </w:pPr>
    <w:rPr>
      <w:rFonts w:ascii="Times New Roman" w:hAnsi="Times New Roman"/>
      <w:snapToGrid w:val="0"/>
      <w:kern w:val="24"/>
      <w:szCs w:val="21"/>
    </w:rPr>
  </w:style>
  <w:style w:type="paragraph" w:customStyle="1" w:styleId="17">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8">
    <w:name w:val="表内1号"/>
    <w:autoRedefine/>
    <w:qFormat/>
    <w:uiPriority w:val="0"/>
    <w:pPr>
      <w:jc w:val="center"/>
    </w:pPr>
    <w:rPr>
      <w:rFonts w:ascii="Times New Roman" w:hAnsi="Times New Roman" w:eastAsia="宋体" w:cs="Times New Roman"/>
      <w:sz w:val="21"/>
      <w:szCs w:val="21"/>
      <w:lang w:val="en-US" w:eastAsia="zh-CN" w:bidi="ar-SA"/>
    </w:rPr>
  </w:style>
  <w:style w:type="paragraph" w:styleId="19">
    <w:name w:val="List Paragraph"/>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0">
    <w:name w:val="表格文字"/>
    <w:basedOn w:val="1"/>
    <w:qFormat/>
    <w:uiPriority w:val="0"/>
    <w:pPr>
      <w:jc w:val="center"/>
    </w:pPr>
    <w:rPr>
      <w:rFonts w:ascii="仿宋" w:hAnsi="Arial Black" w:eastAsia="仿宋"/>
      <w:kern w:val="44"/>
      <w:sz w:val="24"/>
    </w:rPr>
  </w:style>
  <w:style w:type="paragraph" w:customStyle="1" w:styleId="21">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2024-04-22T06:47:18Z</dcterms:created>
  <dc:creator>Administrator</dc:creator>
  <cp:lastModifiedBy>仲</cp:lastModifiedBy>
  <dcterms:modified xsi:type="dcterms:W3CDTF">2024-04-22T06:50:53Z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38FD1056F7394132A5D79681681B4B2B_12</vt:lpwstr>
  </property>
</Properties>
</file>